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326" w:rsidRDefault="00A93326">
      <w:pPr>
        <w:rPr>
          <w:rFonts w:asciiTheme="minorHAnsi" w:hAnsiTheme="minorHAnsi" w:cstheme="minorHAnsi"/>
          <w:b/>
          <w:color w:val="0070C0"/>
          <w:sz w:val="32"/>
          <w:szCs w:val="32"/>
        </w:rPr>
      </w:pPr>
    </w:p>
    <w:p w:rsidR="00592645" w:rsidRPr="00A93326" w:rsidRDefault="00592645" w:rsidP="00A93326">
      <w:pPr>
        <w:pBdr>
          <w:top w:val="single" w:sz="4" w:space="1" w:color="auto"/>
          <w:left w:val="single" w:sz="4" w:space="4" w:color="auto"/>
          <w:bottom w:val="single" w:sz="4" w:space="1" w:color="auto"/>
          <w:right w:val="single" w:sz="4" w:space="4" w:color="auto"/>
        </w:pBdr>
        <w:shd w:val="clear" w:color="auto" w:fill="FFFF66"/>
        <w:jc w:val="center"/>
        <w:rPr>
          <w:rFonts w:asciiTheme="minorHAnsi" w:hAnsiTheme="minorHAnsi" w:cstheme="minorHAnsi"/>
          <w:b/>
          <w:sz w:val="28"/>
          <w:szCs w:val="28"/>
        </w:rPr>
      </w:pPr>
      <w:r w:rsidRPr="00A93326">
        <w:rPr>
          <w:rFonts w:asciiTheme="minorHAnsi" w:hAnsiTheme="minorHAnsi" w:cstheme="minorHAnsi"/>
          <w:b/>
          <w:sz w:val="28"/>
          <w:szCs w:val="28"/>
        </w:rPr>
        <w:t xml:space="preserve">Příloha č. 2 Popis podporovaných aktivit </w:t>
      </w:r>
      <w:r w:rsidR="00A93326" w:rsidRPr="00A93326">
        <w:rPr>
          <w:rFonts w:asciiTheme="minorHAnsi" w:hAnsiTheme="minorHAnsi" w:cstheme="minorHAnsi"/>
          <w:b/>
          <w:sz w:val="28"/>
          <w:szCs w:val="28"/>
        </w:rPr>
        <w:t>v rámci Zaměstnanosti</w:t>
      </w:r>
    </w:p>
    <w:p w:rsidR="00592645" w:rsidRPr="000E0AF9" w:rsidRDefault="00592645" w:rsidP="00592645">
      <w:pPr>
        <w:spacing w:after="240" w:line="240" w:lineRule="auto"/>
        <w:jc w:val="both"/>
        <w:rPr>
          <w:rFonts w:asciiTheme="minorHAnsi" w:eastAsia="Times New Roman" w:hAnsiTheme="minorHAnsi" w:cstheme="minorHAnsi"/>
          <w:bCs/>
          <w:lang w:eastAsia="cs-CZ"/>
        </w:rPr>
      </w:pPr>
      <w:r w:rsidRPr="000E0AF9">
        <w:rPr>
          <w:rFonts w:asciiTheme="minorHAnsi" w:eastAsia="Times New Roman" w:hAnsiTheme="minorHAnsi" w:cstheme="minorHAnsi"/>
          <w:bCs/>
          <w:lang w:eastAsia="cs-CZ"/>
        </w:rPr>
        <w:t xml:space="preserve">Aktivity by měly především přispět ke snížení lokální nezaměstnanosti a měly by vycházet z aktuálních potřeb lokálního trhu práce, jež jsou popsány ve schválených strategiích komunitně vedeného místního rozvoje. Na řešení problematiky nezaměstnanosti spolupracují všichni klíčoví lokální aktéři, včetně příslušných kontaktních pracovišť ÚP ČR. V projektech realizované aktivity </w:t>
      </w:r>
      <w:r w:rsidRPr="000E0AF9">
        <w:rPr>
          <w:rFonts w:asciiTheme="minorHAnsi" w:eastAsia="Times New Roman" w:hAnsiTheme="minorHAnsi" w:cstheme="minorHAnsi"/>
          <w:b/>
          <w:bCs/>
          <w:lang w:eastAsia="cs-CZ"/>
        </w:rPr>
        <w:t>by neměly nahrazovat činnosti ÚP ČR, ale naopak je doplňovat a rozšiřovat s ohledem na detailní znalost potřeb lokálního trhu práce</w:t>
      </w:r>
      <w:r w:rsidRPr="000E0AF9">
        <w:rPr>
          <w:rFonts w:asciiTheme="minorHAnsi" w:eastAsia="Times New Roman" w:hAnsiTheme="minorHAnsi" w:cstheme="minorHAnsi"/>
          <w:bCs/>
          <w:lang w:eastAsia="cs-CZ"/>
        </w:rPr>
        <w:t xml:space="preserve">. </w:t>
      </w:r>
    </w:p>
    <w:p w:rsidR="00592645" w:rsidRPr="000E0AF9" w:rsidRDefault="00592645" w:rsidP="00592645">
      <w:pPr>
        <w:spacing w:after="240" w:line="240" w:lineRule="auto"/>
        <w:jc w:val="both"/>
        <w:rPr>
          <w:rFonts w:asciiTheme="minorHAnsi" w:eastAsia="Times New Roman" w:hAnsiTheme="minorHAnsi" w:cstheme="minorHAnsi"/>
          <w:bCs/>
          <w:lang w:eastAsia="cs-CZ"/>
        </w:rPr>
      </w:pPr>
      <w:r w:rsidRPr="000E0AF9">
        <w:rPr>
          <w:rFonts w:asciiTheme="minorHAnsi" w:hAnsiTheme="minorHAnsi" w:cstheme="minorHAnsi"/>
        </w:rPr>
        <w:t>Z nástrojů aktivní politiky zaměstnanosti podle zákona č. 435/2004 Sb., o zaměstnanosti (dále jen „zákon o zaměstnanosti“), jsou podporovány pouze rekvalifikace. Další nástroje aktivní politiky zaměstnanosti definované dle zákona o zaměstnanosti (veřejně prospěšné práce, společensky účelná pracovní místa, příspěvky na zapracování, překlenovací příspěvky</w:t>
      </w:r>
      <w:r w:rsidRPr="000E0AF9">
        <w:rPr>
          <w:rStyle w:val="Znakapoznpodarou"/>
          <w:rFonts w:asciiTheme="minorHAnsi" w:hAnsiTheme="minorHAnsi" w:cstheme="minorHAnsi"/>
        </w:rPr>
        <w:footnoteReference w:id="1"/>
      </w:r>
      <w:r w:rsidRPr="000E0AF9">
        <w:rPr>
          <w:rFonts w:asciiTheme="minorHAnsi" w:hAnsiTheme="minorHAnsi" w:cstheme="minorHAnsi"/>
        </w:rPr>
        <w:t>) nejsou ve výzvě podporovány a realizovat je bude samostatně pouze ÚP ČR. Zapojení ÚP ČR do projektů je možné pouze formou partnera bez finančního příspěvku.</w:t>
      </w:r>
    </w:p>
    <w:p w:rsidR="00592645" w:rsidRPr="000E0AF9" w:rsidRDefault="00592645" w:rsidP="00592645">
      <w:pPr>
        <w:spacing w:after="240" w:line="240" w:lineRule="auto"/>
        <w:jc w:val="both"/>
        <w:rPr>
          <w:rFonts w:asciiTheme="minorHAnsi" w:eastAsia="Times New Roman" w:hAnsiTheme="minorHAnsi" w:cstheme="minorHAnsi"/>
          <w:bCs/>
          <w:lang w:eastAsia="cs-CZ"/>
        </w:rPr>
      </w:pPr>
      <w:r w:rsidRPr="000E0AF9">
        <w:rPr>
          <w:rFonts w:asciiTheme="minorHAnsi" w:eastAsia="Times New Roman" w:hAnsiTheme="minorHAnsi" w:cstheme="minorHAnsi"/>
          <w:bCs/>
          <w:lang w:eastAsia="cs-CZ"/>
        </w:rPr>
        <w:t>Doporučujeme MAS u výzev MAS na podporu zaměstnanosti vždy konzultovat zaměření výzev s příslušnými kontaktními pracovišti ÚP ČR, na jejichž obvod budou mít realizované aktivity dopad. ŘO OPZ si může v rámci posouzení výzvy MAS před jejím vyhlášením vyžádat stanovisko ÚP ČR k jejímu zaměření.</w:t>
      </w:r>
    </w:p>
    <w:p w:rsidR="00592645" w:rsidRPr="000E0AF9" w:rsidRDefault="00592645" w:rsidP="00592645">
      <w:pPr>
        <w:spacing w:after="240" w:line="240" w:lineRule="auto"/>
        <w:jc w:val="both"/>
        <w:rPr>
          <w:rFonts w:asciiTheme="minorHAnsi" w:eastAsia="Times New Roman" w:hAnsiTheme="minorHAnsi" w:cstheme="minorHAnsi"/>
          <w:bCs/>
          <w:lang w:eastAsia="cs-CZ"/>
        </w:rPr>
      </w:pPr>
      <w:r w:rsidRPr="000E0AF9">
        <w:rPr>
          <w:rFonts w:asciiTheme="minorHAnsi" w:eastAsia="Times New Roman" w:hAnsiTheme="minorHAnsi" w:cstheme="minorHAnsi"/>
          <w:bCs/>
          <w:lang w:eastAsia="cs-CZ"/>
        </w:rPr>
        <w:t>Z důvodu koordinace a efektivnosti intervencí na podporu zaměstnanosti, doporučujeme žadatelům vždy předem konzultovat projektové záměry v oblasti zaměstnanosti s územně příslušnými kontaktními pracovišti ÚP ČR.</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 xml:space="preserve">Při přípravě a realizaci projektů je obvykle kladen důraz na individuální přístup k osobám z cílových skupin a na respektování jejich specifických potřeb, na logickou provázanost aktivit poskytovaných osobám z cílových skupin a na zahrnutí všech relevantních činností potřebných pro úspěšnou realizaci projektu v jasné vazbě na potřeby cílové skupiny a s ohledem na účelnost a hospodárnost vynaložených prostředků. </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V každém projektu by měla být zařazena aktivita spojená s tvorbou nových udržitelných pracovních míst, umístěním na volná pracovní místa či zprostředkováním zaměstnání, čímž je v maximální míře zajištěno zvýšení pracovního uplatnění cílové skupiny. Zároveň nelze podpořit projekty, jejichž jedinou aktivitou bude tvorba pracovních míst, umísťování na volná pracovní místa či zprostředkování zaměstnání bez další individuální podpory osobám z cílových skupin. Je nutné dbát na zajištění komplexního charakteru předkládaného projektu, který musí tvořit provázaný celek na sebe navazujících aktivit, jež usnadní přístup cílové skupiny na trh práce.</w:t>
      </w:r>
    </w:p>
    <w:p w:rsidR="00592645" w:rsidRPr="00A93326" w:rsidRDefault="00592645" w:rsidP="00592645">
      <w:pPr>
        <w:pStyle w:val="Nadpis2"/>
        <w:rPr>
          <w:rFonts w:asciiTheme="minorHAnsi" w:hAnsiTheme="minorHAnsi" w:cstheme="minorHAnsi"/>
          <w:szCs w:val="24"/>
          <w:lang w:eastAsia="cs-CZ"/>
        </w:rPr>
      </w:pPr>
      <w:bookmarkStart w:id="0" w:name="_Toc501518537"/>
      <w:r w:rsidRPr="00A93326">
        <w:rPr>
          <w:rFonts w:asciiTheme="minorHAnsi" w:hAnsiTheme="minorHAnsi" w:cstheme="minorHAnsi"/>
          <w:szCs w:val="24"/>
          <w:lang w:eastAsia="cs-CZ"/>
        </w:rPr>
        <w:t>Příprava osob z cílových skupin ke vstupu či návratu na trh práce</w:t>
      </w:r>
      <w:bookmarkEnd w:id="0"/>
    </w:p>
    <w:p w:rsidR="00592645" w:rsidRPr="000E0AF9" w:rsidRDefault="00592645" w:rsidP="00592645">
      <w:pPr>
        <w:pStyle w:val="Odstavecseseznamem"/>
        <w:numPr>
          <w:ilvl w:val="0"/>
          <w:numId w:val="3"/>
        </w:numPr>
        <w:spacing w:after="200"/>
        <w:rPr>
          <w:rFonts w:asciiTheme="minorHAnsi" w:hAnsiTheme="minorHAnsi" w:cstheme="minorHAnsi"/>
        </w:rPr>
      </w:pPr>
      <w:r w:rsidRPr="000E0AF9">
        <w:rPr>
          <w:rFonts w:asciiTheme="minorHAnsi" w:hAnsiTheme="minorHAnsi" w:cstheme="minorHAnsi"/>
        </w:rPr>
        <w:t>Nástroje a činnosti vedoucí k motivaci a aktivizaci cílových skupin k nalezení zaměstnání a jeho udržení</w:t>
      </w:r>
    </w:p>
    <w:p w:rsidR="00592645" w:rsidRPr="000E0AF9" w:rsidRDefault="00592645" w:rsidP="00592645">
      <w:pPr>
        <w:pStyle w:val="Odstavecseseznamem"/>
        <w:numPr>
          <w:ilvl w:val="0"/>
          <w:numId w:val="3"/>
        </w:numPr>
        <w:spacing w:after="200"/>
        <w:rPr>
          <w:rFonts w:asciiTheme="minorHAnsi" w:hAnsiTheme="minorHAnsi" w:cstheme="minorHAnsi"/>
        </w:rPr>
      </w:pPr>
      <w:r w:rsidRPr="000E0AF9">
        <w:rPr>
          <w:rFonts w:asciiTheme="minorHAnsi" w:hAnsiTheme="minorHAnsi" w:cstheme="minorHAnsi"/>
        </w:rPr>
        <w:t>Rozvoj základních kompetencí osob z cílových skupin za účelem snazšího uplatnění na trhu práce</w:t>
      </w:r>
      <w:r w:rsidRPr="000E0AF9" w:rsidDel="007665E8">
        <w:rPr>
          <w:rFonts w:asciiTheme="minorHAnsi" w:hAnsiTheme="minorHAnsi" w:cstheme="minorHAnsi"/>
        </w:rPr>
        <w:t xml:space="preserve"> </w:t>
      </w:r>
    </w:p>
    <w:p w:rsidR="00592645" w:rsidRPr="000E0AF9" w:rsidRDefault="00592645" w:rsidP="00592645">
      <w:pPr>
        <w:pStyle w:val="Odstavecseseznamem"/>
        <w:numPr>
          <w:ilvl w:val="0"/>
          <w:numId w:val="3"/>
        </w:numPr>
        <w:spacing w:after="200"/>
        <w:rPr>
          <w:rFonts w:asciiTheme="minorHAnsi" w:hAnsiTheme="minorHAnsi" w:cstheme="minorHAnsi"/>
        </w:rPr>
      </w:pPr>
      <w:r w:rsidRPr="000E0AF9">
        <w:rPr>
          <w:rFonts w:asciiTheme="minorHAnsi" w:hAnsiTheme="minorHAnsi" w:cstheme="minorHAnsi"/>
        </w:rPr>
        <w:lastRenderedPageBreak/>
        <w:t>Aktivity zaměřené na zvýšení orientace osob z cílových skupin v požadavcích trhu práce a realizace poradenských činností a programů, jejichž cílem je zjišťování osobnostních a kvalifikačních předpokladů osob pro volbu povolání za účelem zprostředkování vhodného zaměstnání</w:t>
      </w:r>
    </w:p>
    <w:p w:rsidR="00592645" w:rsidRPr="000E0AF9" w:rsidRDefault="00592645" w:rsidP="00592645">
      <w:pPr>
        <w:pStyle w:val="Odstavecseseznamem"/>
        <w:spacing w:after="200"/>
        <w:ind w:left="0"/>
        <w:rPr>
          <w:rFonts w:asciiTheme="minorHAnsi" w:hAnsiTheme="minorHAnsi" w:cstheme="minorHAnsi"/>
        </w:rPr>
      </w:pPr>
    </w:p>
    <w:p w:rsidR="00592645" w:rsidRPr="000E0AF9" w:rsidRDefault="00592645" w:rsidP="00592645">
      <w:pPr>
        <w:pStyle w:val="Odstavecseseznamem"/>
        <w:spacing w:after="200"/>
        <w:ind w:left="0"/>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Podpora pracovního uplatnění osob se zdravotním postižením</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Profilace (vytvoření přehledu vlastností osoby, které se následně využívá při hledání nejvhodnější pracovní pozice) a </w:t>
      </w:r>
      <w:proofErr w:type="spellStart"/>
      <w:r w:rsidRPr="000E0AF9">
        <w:rPr>
          <w:rFonts w:asciiTheme="minorHAnsi" w:hAnsiTheme="minorHAnsi" w:cstheme="minorHAnsi"/>
        </w:rPr>
        <w:t>targeting</w:t>
      </w:r>
      <w:proofErr w:type="spellEnd"/>
      <w:r w:rsidRPr="000E0AF9">
        <w:rPr>
          <w:rFonts w:asciiTheme="minorHAnsi" w:hAnsiTheme="minorHAnsi" w:cstheme="minorHAnsi"/>
        </w:rPr>
        <w:t xml:space="preserve"> (marketingová metoda porovnávající vybrané části pracovního trhu a zhodnocující jejich atraktivitu a výhodnost pro osoby z cílových skupin), u kterých musí být v rámci projektů přesně definován jejich účel a cílové skupiny</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JOB kluby (tj. poradenský program, jehož hlavním cílem je motivovat </w:t>
      </w:r>
      <w:r w:rsidRPr="000E0AF9">
        <w:rPr>
          <w:rFonts w:asciiTheme="minorHAnsi" w:hAnsiTheme="minorHAnsi" w:cstheme="minorHAnsi"/>
        </w:rPr>
        <w:br/>
        <w:t xml:space="preserve">a aktivizovat jeho účastníky k  uplatnění na trhu práce, a to získáním orientace na trhu práce a nácvikem dovedností a technik vyhledávání zaměstnání); </w:t>
      </w:r>
      <w:proofErr w:type="spellStart"/>
      <w:r w:rsidRPr="000E0AF9">
        <w:rPr>
          <w:rFonts w:asciiTheme="minorHAnsi" w:hAnsiTheme="minorHAnsi" w:cstheme="minorHAnsi"/>
        </w:rPr>
        <w:t>job</w:t>
      </w:r>
      <w:proofErr w:type="spellEnd"/>
      <w:r w:rsidRPr="000E0AF9">
        <w:rPr>
          <w:rFonts w:asciiTheme="minorHAnsi" w:hAnsiTheme="minorHAnsi" w:cstheme="minorHAnsi"/>
        </w:rPr>
        <w:t xml:space="preserve"> klub probíhá formou opakovaných skupinových setkávání v malých skupinách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Řízené poradenství ke změně kvalifikace</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Získání či obnova pracovních návyků, např. prostřednictvím </w:t>
      </w:r>
      <w:proofErr w:type="spellStart"/>
      <w:r w:rsidRPr="000E0AF9">
        <w:rPr>
          <w:rFonts w:asciiTheme="minorHAnsi" w:hAnsiTheme="minorHAnsi" w:cstheme="minorHAnsi"/>
        </w:rPr>
        <w:t>mentoringu</w:t>
      </w:r>
      <w:proofErr w:type="spellEnd"/>
      <w:r w:rsidRPr="000E0AF9">
        <w:rPr>
          <w:rStyle w:val="Znakapoznpodarou"/>
          <w:rFonts w:asciiTheme="minorHAnsi" w:hAnsiTheme="minorHAnsi" w:cstheme="minorHAnsi"/>
        </w:rPr>
        <w:footnoteReference w:id="2"/>
      </w:r>
      <w:r w:rsidRPr="000E0AF9">
        <w:rPr>
          <w:rFonts w:asciiTheme="minorHAnsi" w:hAnsiTheme="minorHAnsi" w:cstheme="minorHAnsi"/>
        </w:rPr>
        <w:t xml:space="preserve">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Pracovní a kariérové poradenství (ambulantní a terénní forma)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Bilanční a pracovní diagnostika, ergo diagnostika</w:t>
      </w:r>
      <w:r w:rsidRPr="000E0AF9">
        <w:rPr>
          <w:rStyle w:val="Znakapoznpodarou"/>
          <w:rFonts w:asciiTheme="minorHAnsi" w:hAnsiTheme="minorHAnsi" w:cstheme="minorHAnsi"/>
        </w:rPr>
        <w:footnoteReference w:id="3"/>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Rekvalifikace a další profesní vzdělávání</w:t>
      </w:r>
      <w:r w:rsidRPr="000E0AF9">
        <w:rPr>
          <w:rStyle w:val="Znakapoznpodarou"/>
          <w:rFonts w:asciiTheme="minorHAnsi" w:hAnsiTheme="minorHAnsi" w:cstheme="minorHAnsi"/>
        </w:rPr>
        <w:footnoteReference w:id="4"/>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Jazykové vzdělávání, PC kurzy, rozvoj finanční gramotnosti, soft </w:t>
      </w:r>
      <w:proofErr w:type="spellStart"/>
      <w:r w:rsidRPr="000E0AF9">
        <w:rPr>
          <w:rFonts w:asciiTheme="minorHAnsi" w:hAnsiTheme="minorHAnsi" w:cstheme="minorHAnsi"/>
        </w:rPr>
        <w:t>skills</w:t>
      </w:r>
      <w:proofErr w:type="spellEnd"/>
      <w:r w:rsidRPr="000E0AF9">
        <w:rPr>
          <w:rFonts w:asciiTheme="minorHAnsi" w:hAnsiTheme="minorHAnsi" w:cstheme="minorHAnsi"/>
        </w:rPr>
        <w:t xml:space="preserve"> (měkké dovednosti, komunikační dovednosti apod.), podpora čtenářské a numerické gramotnosti apod. (aktivity jsou pouze doprovodné a musí vést přímo k uplatnění osob z cílových skupin na trhu práce)</w:t>
      </w:r>
    </w:p>
    <w:p w:rsidR="00592645" w:rsidRPr="000E0AF9" w:rsidRDefault="00592645" w:rsidP="00592645">
      <w:pPr>
        <w:pStyle w:val="Odstavecseseznamem"/>
        <w:spacing w:after="200"/>
        <w:ind w:left="2160"/>
        <w:rPr>
          <w:rFonts w:asciiTheme="minorHAnsi" w:hAnsiTheme="minorHAnsi" w:cstheme="minorHAnsi"/>
        </w:rPr>
      </w:pPr>
    </w:p>
    <w:p w:rsidR="00592645" w:rsidRPr="000E0AF9" w:rsidRDefault="00592645" w:rsidP="00592645">
      <w:pPr>
        <w:pStyle w:val="Odstavecseseznamem"/>
        <w:spacing w:after="200"/>
        <w:ind w:left="0"/>
        <w:rPr>
          <w:rFonts w:asciiTheme="minorHAnsi" w:hAnsiTheme="minorHAnsi" w:cstheme="minorHAnsi"/>
        </w:rPr>
      </w:pPr>
      <w:r w:rsidRPr="000E0AF9">
        <w:rPr>
          <w:rFonts w:asciiTheme="minorHAnsi" w:hAnsiTheme="minorHAnsi" w:cstheme="minorHAnsi"/>
        </w:rPr>
        <w:t>Aktivity je možné doplnit o zajištění doprovodných služeb typu dluhové poradenství, rodinné poradenství, psychologické poradenství, poradenství v oblasti bydlení apod. Aktivity jsou vhodné zejména pro osoby dlouhodobě či opakovaně nezaměstnané a osoby s kumulací hendikepů na trhu práce, které jsou nejvíce vzdáleny od trhu práce.</w:t>
      </w:r>
    </w:p>
    <w:p w:rsidR="00592645" w:rsidRPr="00A93326" w:rsidRDefault="00592645" w:rsidP="00592645">
      <w:pPr>
        <w:spacing w:line="240" w:lineRule="auto"/>
        <w:jc w:val="both"/>
        <w:rPr>
          <w:rFonts w:asciiTheme="minorHAnsi" w:hAnsiTheme="minorHAnsi" w:cstheme="minorHAnsi"/>
          <w:b/>
        </w:rPr>
      </w:pPr>
      <w:r w:rsidRPr="00A93326">
        <w:rPr>
          <w:rFonts w:asciiTheme="minorHAnsi" w:hAnsiTheme="minorHAnsi" w:cstheme="minorHAnsi"/>
          <w:b/>
        </w:rPr>
        <w:t xml:space="preserve">Nebude podporováno: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Kariérové poradenství pro žáky ZŠ</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Projekty založené pouze na rekvalifikacích a dalším vzdělávání bez přímé uplatnitelnosti osob z cílových skupin na trhu práce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Podpora a poradenství v rozvoji lidských zdrojů v podnicích (rozvoj lidských zdrojů bude podporován z Investiční priority 1.3 OPZ)</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lastRenderedPageBreak/>
        <w:t>Aktivity systémového charakteru (např. informační, analytické a monitorovací systémy trhu práce, tvorba systémů dalšího profesního vzdělávání), které jsou podporovány v rámci Investiční priority 1.4 OPZ</w:t>
      </w:r>
    </w:p>
    <w:p w:rsidR="00592645" w:rsidRPr="000E0AF9" w:rsidRDefault="00592645" w:rsidP="00592645">
      <w:pPr>
        <w:pStyle w:val="Odstavecseseznamem"/>
        <w:spacing w:after="200"/>
        <w:rPr>
          <w:rFonts w:asciiTheme="minorHAnsi" w:hAnsiTheme="minorHAnsi" w:cstheme="minorHAnsi"/>
        </w:rPr>
      </w:pPr>
    </w:p>
    <w:p w:rsidR="00592645" w:rsidRPr="000E0AF9" w:rsidRDefault="00592645" w:rsidP="00592645">
      <w:pPr>
        <w:pStyle w:val="Nadpis2"/>
        <w:rPr>
          <w:rFonts w:asciiTheme="minorHAnsi" w:hAnsiTheme="minorHAnsi" w:cstheme="minorHAnsi"/>
          <w:lang w:eastAsia="cs-CZ"/>
        </w:rPr>
      </w:pPr>
      <w:bookmarkStart w:id="1" w:name="_Toc501518538"/>
      <w:r w:rsidRPr="000E0AF9">
        <w:rPr>
          <w:rFonts w:asciiTheme="minorHAnsi" w:hAnsiTheme="minorHAnsi" w:cstheme="minorHAnsi"/>
          <w:lang w:eastAsia="cs-CZ"/>
        </w:rPr>
        <w:t>Zvyšování zaměstnanosti cílových skupin</w:t>
      </w:r>
      <w:bookmarkEnd w:id="1"/>
    </w:p>
    <w:p w:rsidR="00592645" w:rsidRPr="000E0AF9" w:rsidRDefault="00592645" w:rsidP="00592645">
      <w:pPr>
        <w:numPr>
          <w:ilvl w:val="0"/>
          <w:numId w:val="4"/>
        </w:numPr>
        <w:spacing w:line="240" w:lineRule="auto"/>
        <w:jc w:val="both"/>
        <w:rPr>
          <w:rFonts w:asciiTheme="minorHAnsi" w:hAnsiTheme="minorHAnsi" w:cstheme="minorHAnsi"/>
        </w:rPr>
      </w:pPr>
      <w:r w:rsidRPr="000E0AF9">
        <w:rPr>
          <w:rFonts w:asciiTheme="minorHAnsi" w:hAnsiTheme="minorHAnsi" w:cstheme="minorHAnsi"/>
          <w:b/>
        </w:rPr>
        <w:t>Zprostředkování zaměstnání</w:t>
      </w:r>
      <w:r w:rsidRPr="000E0AF9">
        <w:rPr>
          <w:rStyle w:val="Znakapoznpodarou"/>
          <w:rFonts w:asciiTheme="minorHAnsi" w:hAnsiTheme="minorHAnsi" w:cstheme="minorHAnsi"/>
        </w:rPr>
        <w:footnoteReference w:id="5"/>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Realizace činností souvisejících s vyhledáváním zaměstnání pro osobu, která se o práci uchází</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Vyhledávání zaměstnanců pro zaměstnavatele, který hledá nové pracovní síly</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Poradenská a informační činnost v oblasti pracovních příležitostí</w:t>
      </w:r>
    </w:p>
    <w:p w:rsidR="00592645" w:rsidRPr="000E0AF9" w:rsidRDefault="00592645" w:rsidP="00592645">
      <w:pPr>
        <w:numPr>
          <w:ilvl w:val="0"/>
          <w:numId w:val="4"/>
        </w:numPr>
        <w:spacing w:line="240" w:lineRule="auto"/>
        <w:jc w:val="both"/>
        <w:rPr>
          <w:rFonts w:asciiTheme="minorHAnsi" w:hAnsiTheme="minorHAnsi" w:cstheme="minorHAnsi"/>
          <w:b/>
        </w:rPr>
      </w:pPr>
      <w:r w:rsidRPr="000E0AF9">
        <w:rPr>
          <w:rFonts w:asciiTheme="minorHAnsi" w:hAnsiTheme="minorHAnsi" w:cstheme="minorHAnsi"/>
          <w:b/>
        </w:rPr>
        <w:t>Podpora vytváření nových pracovních míst</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Tvorba pracovních míst pro osoby z cílových skupin</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Podpora uplatnění na trhu práce formou příspěvku na úhradu mzdových nákladů zaměstnavatelům (může zakládat veřejnou podporu)</w:t>
      </w:r>
    </w:p>
    <w:p w:rsidR="00592645" w:rsidRPr="000E0AF9" w:rsidRDefault="00592645" w:rsidP="00592645">
      <w:pPr>
        <w:numPr>
          <w:ilvl w:val="0"/>
          <w:numId w:val="4"/>
        </w:numPr>
        <w:spacing w:line="240" w:lineRule="auto"/>
        <w:jc w:val="both"/>
        <w:rPr>
          <w:rFonts w:asciiTheme="minorHAnsi" w:hAnsiTheme="minorHAnsi" w:cstheme="minorHAnsi"/>
          <w:b/>
        </w:rPr>
      </w:pPr>
      <w:r w:rsidRPr="000E0AF9">
        <w:rPr>
          <w:rFonts w:asciiTheme="minorHAnsi" w:hAnsiTheme="minorHAnsi" w:cstheme="minorHAnsi"/>
          <w:b/>
        </w:rPr>
        <w:t>Podpora umístění na uvolněná pracovní místa</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Příspěvek na úhradu mzdových nákladů zaměstnavatelům na umisťování osob z cílových skupin na pracovní místa, která budou z různých příčin (např. z důvodu odchodu do důchodu) na trhu práce uvolňována (může zakládat veřejnou podporu)</w:t>
      </w:r>
    </w:p>
    <w:p w:rsidR="00592645" w:rsidRPr="000E0AF9" w:rsidRDefault="00592645" w:rsidP="00592645">
      <w:pPr>
        <w:pStyle w:val="Odstavecseseznamem"/>
        <w:spacing w:after="200"/>
        <w:rPr>
          <w:rFonts w:asciiTheme="minorHAnsi" w:hAnsiTheme="minorHAnsi" w:cstheme="minorHAnsi"/>
        </w:rPr>
      </w:pPr>
    </w:p>
    <w:p w:rsidR="00592645" w:rsidRPr="000E0AF9" w:rsidRDefault="00592645" w:rsidP="00592645">
      <w:pPr>
        <w:numPr>
          <w:ilvl w:val="0"/>
          <w:numId w:val="4"/>
        </w:numPr>
        <w:spacing w:line="240" w:lineRule="auto"/>
        <w:jc w:val="both"/>
        <w:rPr>
          <w:rFonts w:asciiTheme="minorHAnsi" w:hAnsiTheme="minorHAnsi" w:cstheme="minorHAnsi"/>
          <w:b/>
        </w:rPr>
      </w:pPr>
      <w:r w:rsidRPr="000E0AF9">
        <w:rPr>
          <w:rFonts w:asciiTheme="minorHAnsi" w:hAnsiTheme="minorHAnsi" w:cstheme="minorHAnsi"/>
          <w:b/>
        </w:rPr>
        <w:t>Podpora zahájení podnikatelské činnosti</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Aktivity před zahájením podnikání a na ně navazující aktivity po zahájení podnikání formou vzdělávání a poradenství</w:t>
      </w:r>
      <w:r w:rsidRPr="000E0AF9">
        <w:rPr>
          <w:rStyle w:val="Znakapoznpodarou"/>
          <w:rFonts w:asciiTheme="minorHAnsi" w:hAnsiTheme="minorHAnsi" w:cstheme="minorHAnsi"/>
        </w:rPr>
        <w:footnoteReference w:id="6"/>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Podpora osob, které při zahájení projektu nebyly OSVČ (neměly oprávnění), nevylučuje se ale jejich předchozí zařazení mezi OSVČ, které již bylo ukončeno, nebo přerušeno (podpora pro </w:t>
      </w:r>
      <w:r w:rsidRPr="000E0AF9">
        <w:rPr>
          <w:rFonts w:asciiTheme="minorHAnsi" w:hAnsiTheme="minorHAnsi" w:cstheme="minorHAnsi"/>
        </w:rPr>
        <w:lastRenderedPageBreak/>
        <w:t>osoby, které zahájí podnikání, může trvat maximálně 2 roky po zahájení podnikání a bude se jednat o veřejnou podporu)</w:t>
      </w:r>
    </w:p>
    <w:p w:rsidR="00592645" w:rsidRPr="000E0AF9" w:rsidRDefault="00592645" w:rsidP="00592645">
      <w:pPr>
        <w:numPr>
          <w:ilvl w:val="0"/>
          <w:numId w:val="4"/>
        </w:numPr>
        <w:spacing w:line="240" w:lineRule="auto"/>
        <w:jc w:val="both"/>
        <w:rPr>
          <w:rFonts w:asciiTheme="minorHAnsi" w:hAnsiTheme="minorHAnsi" w:cstheme="minorHAnsi"/>
          <w:b/>
        </w:rPr>
      </w:pPr>
      <w:r w:rsidRPr="000E0AF9">
        <w:rPr>
          <w:rFonts w:asciiTheme="minorHAnsi" w:hAnsiTheme="minorHAnsi" w:cstheme="minorHAnsi"/>
          <w:b/>
        </w:rPr>
        <w:t>Podpora spolupráce lokálních partnerů na trhu práce</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Podpora vzájemné spolupráce subjektů veřejného, neziskového a soukromého sektoru na úrovni MAS s cílem pomoci cílovým skupinám při uplatnění na trhu práce, a to i s využitím nových a netradičních metod podporujících zaměstnanost na lokální úrovni</w:t>
      </w:r>
      <w:r w:rsidRPr="000E0AF9">
        <w:rPr>
          <w:rStyle w:val="Znakapoznpodarou"/>
          <w:rFonts w:asciiTheme="minorHAnsi" w:hAnsiTheme="minorHAnsi" w:cstheme="minorHAnsi"/>
        </w:rPr>
        <w:footnoteReference w:id="7"/>
      </w:r>
      <w:r w:rsidRPr="000E0AF9">
        <w:rPr>
          <w:rFonts w:asciiTheme="minorHAnsi" w:hAnsiTheme="minorHAnsi" w:cstheme="minorHAnsi"/>
        </w:rPr>
        <w:t xml:space="preserve">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Monitoring lokálního trhu práce pro potřeby zprostředkování pracovních míst cílovým skupinám</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Vytvoření a provoz lokální burzy práce</w:t>
      </w:r>
      <w:r w:rsidRPr="000E0AF9">
        <w:rPr>
          <w:rStyle w:val="Znakapoznpodarou"/>
          <w:rFonts w:asciiTheme="minorHAnsi" w:hAnsiTheme="minorHAnsi" w:cstheme="minorHAnsi"/>
        </w:rPr>
        <w:footnoteReference w:id="8"/>
      </w:r>
      <w:r w:rsidRPr="000E0AF9">
        <w:rPr>
          <w:rFonts w:asciiTheme="minorHAnsi" w:hAnsiTheme="minorHAnsi" w:cstheme="minorHAnsi"/>
        </w:rPr>
        <w:t xml:space="preserve"> nebo </w:t>
      </w:r>
      <w:proofErr w:type="spellStart"/>
      <w:r w:rsidRPr="000E0AF9">
        <w:rPr>
          <w:rFonts w:asciiTheme="minorHAnsi" w:hAnsiTheme="minorHAnsi" w:cstheme="minorHAnsi"/>
        </w:rPr>
        <w:t>job</w:t>
      </w:r>
      <w:proofErr w:type="spellEnd"/>
      <w:r w:rsidRPr="000E0AF9">
        <w:rPr>
          <w:rFonts w:asciiTheme="minorHAnsi" w:hAnsiTheme="minorHAnsi" w:cstheme="minorHAnsi"/>
        </w:rPr>
        <w:t xml:space="preserve"> centra (tj. systém sloužící ke zprostředkování volných pracovních pozic nabízených lokálními zaměstnavateli ve prospěch osob hledajících zaměstnání)</w:t>
      </w:r>
    </w:p>
    <w:p w:rsidR="00592645" w:rsidRPr="00A93326" w:rsidRDefault="00592645" w:rsidP="00592645">
      <w:pPr>
        <w:spacing w:line="240" w:lineRule="auto"/>
        <w:jc w:val="both"/>
        <w:rPr>
          <w:rFonts w:asciiTheme="minorHAnsi" w:hAnsiTheme="minorHAnsi" w:cstheme="minorHAnsi"/>
          <w:b/>
        </w:rPr>
      </w:pPr>
      <w:r w:rsidRPr="00A93326">
        <w:rPr>
          <w:rFonts w:asciiTheme="minorHAnsi" w:hAnsiTheme="minorHAnsi" w:cstheme="minorHAnsi"/>
          <w:b/>
        </w:rPr>
        <w:t xml:space="preserve">Nebude podporováno: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Mzdové příspěvky na vytvoření pracovních míst v sociálních službách, které jsou hrazeny z vyrovnávací platby (viz Rozhodnutí Komise č. 2012/21/EU)</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Přijetí předchozích zaměstnanců na uvolněná pracovní místa </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Projekty založené pouze na systémových aktivitách a projekty zaměřené pouze na lokální burzy práce</w:t>
      </w:r>
    </w:p>
    <w:p w:rsidR="00592645" w:rsidRPr="000E0AF9" w:rsidRDefault="00592645" w:rsidP="00592645">
      <w:pPr>
        <w:pStyle w:val="Nadpis2"/>
        <w:rPr>
          <w:rFonts w:asciiTheme="minorHAnsi" w:hAnsiTheme="minorHAnsi" w:cstheme="minorHAnsi"/>
          <w:lang w:eastAsia="cs-CZ"/>
        </w:rPr>
      </w:pPr>
      <w:bookmarkStart w:id="2" w:name="_Toc501518539"/>
      <w:r w:rsidRPr="000E0AF9">
        <w:rPr>
          <w:rFonts w:asciiTheme="minorHAnsi" w:hAnsiTheme="minorHAnsi" w:cstheme="minorHAnsi"/>
          <w:lang w:eastAsia="cs-CZ"/>
        </w:rPr>
        <w:t>Podpora udržitelnosti cílových skupin na trhu práce</w:t>
      </w:r>
      <w:bookmarkEnd w:id="2"/>
      <w:r w:rsidRPr="000E0AF9">
        <w:rPr>
          <w:rFonts w:asciiTheme="minorHAnsi" w:hAnsiTheme="minorHAnsi" w:cstheme="minorHAnsi"/>
          <w:lang w:eastAsia="cs-CZ"/>
        </w:rPr>
        <w:t xml:space="preserve"> </w:t>
      </w:r>
    </w:p>
    <w:p w:rsidR="00592645" w:rsidRPr="000E0AF9" w:rsidRDefault="00592645" w:rsidP="00592645">
      <w:pPr>
        <w:numPr>
          <w:ilvl w:val="0"/>
          <w:numId w:val="5"/>
        </w:numPr>
        <w:spacing w:line="240" w:lineRule="auto"/>
        <w:jc w:val="both"/>
        <w:rPr>
          <w:rFonts w:asciiTheme="minorHAnsi" w:hAnsiTheme="minorHAnsi" w:cstheme="minorHAnsi"/>
          <w:b/>
        </w:rPr>
      </w:pPr>
      <w:r w:rsidRPr="000E0AF9">
        <w:rPr>
          <w:rFonts w:asciiTheme="minorHAnsi" w:hAnsiTheme="minorHAnsi" w:cstheme="minorHAnsi"/>
          <w:b/>
        </w:rPr>
        <w:t>Podpora flexibilních forem zaměstnání</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Vytváření podmínek pro snazší uplatnění cílových skupin na trhu práce prostřednictvím flexibilních forem zaměstnávání (včetně poskytování mzdových příspěvků na nově vytvořená pracovní místa; může zakládat veřejnou podporu)</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Mezi flexibilní formy zaměstnání patří například zkrácený úvazek, rotace na pracovním místě, sdílení pracovního místa, práce na dálku</w:t>
      </w:r>
    </w:p>
    <w:p w:rsidR="00592645" w:rsidRPr="000E0AF9" w:rsidRDefault="00592645" w:rsidP="00592645">
      <w:pPr>
        <w:numPr>
          <w:ilvl w:val="0"/>
          <w:numId w:val="5"/>
        </w:numPr>
        <w:spacing w:line="240" w:lineRule="auto"/>
        <w:jc w:val="both"/>
        <w:rPr>
          <w:rFonts w:asciiTheme="minorHAnsi" w:hAnsiTheme="minorHAnsi" w:cstheme="minorHAnsi"/>
          <w:b/>
        </w:rPr>
      </w:pPr>
      <w:r w:rsidRPr="000E0AF9">
        <w:rPr>
          <w:rFonts w:asciiTheme="minorHAnsi" w:hAnsiTheme="minorHAnsi" w:cstheme="minorHAnsi"/>
          <w:b/>
        </w:rPr>
        <w:t>Zprostředkování dočasného přidělení zaměstnance k jinému zaměstnavateli</w:t>
      </w:r>
    </w:p>
    <w:p w:rsidR="00592645" w:rsidRPr="000E0AF9" w:rsidRDefault="00592645" w:rsidP="00592645">
      <w:pPr>
        <w:pStyle w:val="Odstavecseseznamem"/>
        <w:spacing w:after="200"/>
        <w:ind w:left="0"/>
        <w:rPr>
          <w:rFonts w:asciiTheme="minorHAnsi" w:hAnsiTheme="minorHAnsi" w:cstheme="minorHAnsi"/>
        </w:rPr>
      </w:pPr>
      <w:r w:rsidRPr="000E0AF9">
        <w:rPr>
          <w:rFonts w:asciiTheme="minorHAnsi" w:hAnsiTheme="minorHAnsi" w:cstheme="minorHAnsi"/>
        </w:rPr>
        <w:t>Zprostředkování dočasného přidělení zaměstnance k jinému zaměstnavateli dle § 43a zákona č. 262/2006 Sb., zákoník práce (nejedná se o agenturní zaměstnávání). Veřejnou podporu získá ten zaměstnavatel, kterému vznikne výhoda při dočasném přidělení zaměstnance v případě čerpání mzdového příspěvku.</w:t>
      </w:r>
    </w:p>
    <w:p w:rsidR="00592645" w:rsidRPr="000E0AF9" w:rsidRDefault="00592645" w:rsidP="00592645">
      <w:pPr>
        <w:pStyle w:val="Odstavecseseznamem"/>
        <w:spacing w:after="200"/>
        <w:ind w:left="0"/>
        <w:rPr>
          <w:rFonts w:asciiTheme="minorHAnsi" w:hAnsiTheme="minorHAnsi" w:cstheme="minorHAnsi"/>
        </w:rPr>
      </w:pPr>
    </w:p>
    <w:p w:rsidR="00592645" w:rsidRPr="000E0AF9" w:rsidRDefault="00592645" w:rsidP="00592645">
      <w:pPr>
        <w:pStyle w:val="Odstavecseseznamem"/>
        <w:numPr>
          <w:ilvl w:val="0"/>
          <w:numId w:val="5"/>
        </w:numPr>
        <w:spacing w:after="200"/>
        <w:rPr>
          <w:rFonts w:asciiTheme="minorHAnsi" w:hAnsiTheme="minorHAnsi" w:cstheme="minorHAnsi"/>
          <w:b/>
        </w:rPr>
      </w:pPr>
      <w:r w:rsidRPr="000E0AF9">
        <w:rPr>
          <w:rFonts w:asciiTheme="minorHAnsi" w:hAnsiTheme="minorHAnsi" w:cstheme="minorHAnsi"/>
          <w:b/>
        </w:rPr>
        <w:t>Podpora zaměstnanců</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Bude podporováno pouze:</w:t>
      </w:r>
    </w:p>
    <w:p w:rsidR="00592645" w:rsidRPr="000E0AF9" w:rsidRDefault="00592645" w:rsidP="00592645">
      <w:pPr>
        <w:pStyle w:val="Odstavecseseznamem"/>
        <w:numPr>
          <w:ilvl w:val="0"/>
          <w:numId w:val="1"/>
        </w:numPr>
        <w:rPr>
          <w:rFonts w:asciiTheme="minorHAnsi" w:hAnsiTheme="minorHAnsi" w:cstheme="minorHAnsi"/>
        </w:rPr>
      </w:pPr>
      <w:r w:rsidRPr="000E0AF9">
        <w:rPr>
          <w:rFonts w:asciiTheme="minorHAnsi" w:hAnsiTheme="minorHAnsi" w:cstheme="minorHAnsi"/>
        </w:rPr>
        <w:t>Poradenství a rekvalifikace pro zaměstnance ve výpovědi</w:t>
      </w:r>
    </w:p>
    <w:p w:rsidR="00592645" w:rsidRPr="000E0AF9" w:rsidRDefault="00592645" w:rsidP="00592645">
      <w:pPr>
        <w:pStyle w:val="Odstavecseseznamem"/>
        <w:numPr>
          <w:ilvl w:val="0"/>
          <w:numId w:val="1"/>
        </w:numPr>
        <w:rPr>
          <w:rFonts w:asciiTheme="minorHAnsi" w:hAnsiTheme="minorHAnsi" w:cstheme="minorHAnsi"/>
        </w:rPr>
      </w:pPr>
      <w:r w:rsidRPr="000E0AF9">
        <w:rPr>
          <w:rFonts w:asciiTheme="minorHAnsi" w:hAnsiTheme="minorHAnsi" w:cstheme="minorHAnsi"/>
        </w:rPr>
        <w:t>Vzdělávání nových zaměstnanců, kteří byli v projektech přijati na nově vytvořená nebo uvolněná pracovní místa (může zakládat veřejnou podporu)</w:t>
      </w:r>
      <w:r w:rsidR="000E0AF9">
        <w:rPr>
          <w:rFonts w:asciiTheme="minorHAnsi" w:hAnsiTheme="minorHAnsi" w:cstheme="minorHAnsi"/>
        </w:rPr>
        <w:t>.</w:t>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lastRenderedPageBreak/>
        <w:t>Nebude podporováno:</w:t>
      </w:r>
    </w:p>
    <w:p w:rsidR="00592645" w:rsidRPr="000E0AF9" w:rsidRDefault="00592645" w:rsidP="00592645">
      <w:pPr>
        <w:pStyle w:val="Odstavecseseznamem"/>
        <w:numPr>
          <w:ilvl w:val="0"/>
          <w:numId w:val="1"/>
        </w:numPr>
        <w:spacing w:after="200"/>
        <w:rPr>
          <w:rFonts w:asciiTheme="minorHAnsi" w:hAnsiTheme="minorHAnsi" w:cstheme="minorHAnsi"/>
        </w:rPr>
      </w:pPr>
      <w:r w:rsidRPr="000E0AF9">
        <w:rPr>
          <w:rFonts w:asciiTheme="minorHAnsi" w:hAnsiTheme="minorHAnsi" w:cstheme="minorHAnsi"/>
        </w:rPr>
        <w:t xml:space="preserve">Práce na zkoušku (tzv. „ochutnávky“), při kterých není vyplácena zaměstnanci odměna (nutný soulad s § 109 zákona č. 262/2006 Sb., zákoník práce: </w:t>
      </w:r>
      <w:r w:rsidRPr="000E0AF9">
        <w:rPr>
          <w:rFonts w:asciiTheme="minorHAnsi" w:hAnsiTheme="minorHAnsi" w:cstheme="minorHAnsi"/>
          <w:i/>
        </w:rPr>
        <w:t>„Za vykonanou práci přísluší zaměstnanci mzda, plat nebo odměna z dohody.“)</w:t>
      </w:r>
    </w:p>
    <w:p w:rsidR="00592645" w:rsidRPr="000E0AF9" w:rsidRDefault="00592645" w:rsidP="000E0AF9">
      <w:pPr>
        <w:pStyle w:val="Odstavecseseznamem"/>
        <w:numPr>
          <w:ilvl w:val="0"/>
          <w:numId w:val="1"/>
        </w:numPr>
        <w:spacing w:after="200"/>
        <w:rPr>
          <w:rFonts w:asciiTheme="minorHAnsi" w:hAnsiTheme="minorHAnsi" w:cstheme="minorHAnsi"/>
        </w:rPr>
      </w:pPr>
      <w:r w:rsidRPr="000E0AF9">
        <w:rPr>
          <w:rFonts w:asciiTheme="minorHAnsi" w:hAnsiTheme="minorHAnsi" w:cstheme="minorHAnsi"/>
          <w:iCs/>
        </w:rPr>
        <w:t>Poskytování mzdových příspěvků již zaměstnaným či podnikajícím osobám z cílových skupin</w:t>
      </w:r>
    </w:p>
    <w:p w:rsidR="00592645" w:rsidRPr="000E0AF9" w:rsidRDefault="00592645" w:rsidP="00592645">
      <w:pPr>
        <w:pStyle w:val="Nadpis2"/>
        <w:rPr>
          <w:rFonts w:asciiTheme="minorHAnsi" w:hAnsiTheme="minorHAnsi" w:cstheme="minorHAnsi"/>
          <w:lang w:eastAsia="cs-CZ"/>
        </w:rPr>
      </w:pPr>
      <w:bookmarkStart w:id="3" w:name="_Toc501518540"/>
      <w:r w:rsidRPr="000E0AF9">
        <w:rPr>
          <w:rFonts w:asciiTheme="minorHAnsi" w:hAnsiTheme="minorHAnsi" w:cstheme="minorHAnsi"/>
          <w:lang w:eastAsia="cs-CZ"/>
        </w:rPr>
        <w:t>Podpo</w:t>
      </w:r>
      <w:bookmarkStart w:id="4" w:name="_GoBack"/>
      <w:bookmarkEnd w:id="4"/>
      <w:r w:rsidRPr="000E0AF9">
        <w:rPr>
          <w:rFonts w:asciiTheme="minorHAnsi" w:hAnsiTheme="minorHAnsi" w:cstheme="minorHAnsi"/>
          <w:lang w:eastAsia="cs-CZ"/>
        </w:rPr>
        <w:t>ra prostupného zaměstnávání</w:t>
      </w:r>
      <w:bookmarkEnd w:id="3"/>
      <w:r w:rsidRPr="000E0AF9">
        <w:rPr>
          <w:rFonts w:asciiTheme="minorHAnsi" w:hAnsiTheme="minorHAnsi" w:cstheme="minorHAnsi"/>
          <w:lang w:eastAsia="cs-CZ"/>
        </w:rPr>
        <w:t xml:space="preserve"> </w:t>
      </w:r>
    </w:p>
    <w:p w:rsidR="00592645" w:rsidRPr="000E0AF9" w:rsidRDefault="00592645" w:rsidP="00592645">
      <w:pPr>
        <w:numPr>
          <w:ilvl w:val="0"/>
          <w:numId w:val="6"/>
        </w:numPr>
        <w:spacing w:line="240" w:lineRule="auto"/>
        <w:jc w:val="both"/>
        <w:rPr>
          <w:rFonts w:asciiTheme="minorHAnsi" w:hAnsiTheme="minorHAnsi" w:cstheme="minorHAnsi"/>
        </w:rPr>
      </w:pPr>
      <w:r w:rsidRPr="000E0AF9">
        <w:rPr>
          <w:rFonts w:asciiTheme="minorHAnsi" w:hAnsiTheme="minorHAnsi" w:cstheme="minorHAnsi"/>
          <w:b/>
        </w:rPr>
        <w:t>Prostupné zaměstnávání</w:t>
      </w:r>
      <w:r w:rsidRPr="000E0AF9">
        <w:rPr>
          <w:rStyle w:val="Znakapoznpodarou"/>
          <w:rFonts w:asciiTheme="minorHAnsi" w:hAnsiTheme="minorHAnsi" w:cstheme="minorHAnsi"/>
        </w:rPr>
        <w:footnoteReference w:id="9"/>
      </w:r>
    </w:p>
    <w:p w:rsidR="00592645" w:rsidRPr="000E0AF9" w:rsidRDefault="00592645" w:rsidP="00592645">
      <w:pPr>
        <w:spacing w:line="240" w:lineRule="auto"/>
        <w:jc w:val="both"/>
        <w:rPr>
          <w:rFonts w:asciiTheme="minorHAnsi" w:hAnsiTheme="minorHAnsi" w:cstheme="minorHAnsi"/>
        </w:rPr>
      </w:pPr>
      <w:r w:rsidRPr="000E0AF9">
        <w:rPr>
          <w:rFonts w:asciiTheme="minorHAnsi" w:hAnsiTheme="minorHAnsi" w:cstheme="minorHAnsi"/>
        </w:rPr>
        <w:t>Příklady podporovaných aktivit:</w:t>
      </w:r>
    </w:p>
    <w:p w:rsidR="00592645" w:rsidRPr="000E0AF9" w:rsidRDefault="00592645" w:rsidP="00592645">
      <w:pPr>
        <w:pStyle w:val="Odstavecseseznamem"/>
        <w:numPr>
          <w:ilvl w:val="0"/>
          <w:numId w:val="1"/>
        </w:numPr>
        <w:autoSpaceDE w:val="0"/>
        <w:autoSpaceDN w:val="0"/>
        <w:adjustRightInd w:val="0"/>
        <w:spacing w:after="200"/>
        <w:rPr>
          <w:rStyle w:val="Odkaznakoment"/>
          <w:rFonts w:asciiTheme="minorHAnsi" w:hAnsiTheme="minorHAnsi" w:cstheme="minorHAnsi"/>
        </w:rPr>
      </w:pPr>
      <w:r w:rsidRPr="000E0AF9">
        <w:rPr>
          <w:rFonts w:asciiTheme="minorHAnsi" w:hAnsiTheme="minorHAnsi" w:cstheme="minorHAnsi"/>
        </w:rPr>
        <w:t xml:space="preserve">Aktivity umožňující za pomoci doprovodných opatření podle individuálních potřeb (podporované zaměstnávání, komplexní práce s cílovou skupinou) postupné zapojování dlouhodobě nezaměstnaných osob a osob s minimálními pracovními zkušenostmi na trh práce, získávání pracovních návyků a zkušeností, a to i s využitím nástrojů podpory zaměstnanosti, které povedou k dlouhodobému uplatnění těchto osob na trhu práce </w:t>
      </w:r>
    </w:p>
    <w:p w:rsidR="00592645" w:rsidRPr="000E0AF9" w:rsidRDefault="000E0AF9" w:rsidP="00592645">
      <w:pPr>
        <w:pStyle w:val="Odstavecseseznamem"/>
        <w:numPr>
          <w:ilvl w:val="0"/>
          <w:numId w:val="1"/>
        </w:numPr>
        <w:spacing w:after="240"/>
        <w:rPr>
          <w:rFonts w:asciiTheme="minorHAnsi" w:hAnsiTheme="minorHAnsi" w:cstheme="minorHAnsi"/>
          <w:lang w:eastAsia="cs-CZ"/>
        </w:rPr>
      </w:pPr>
      <w:r w:rsidRPr="000E0AF9">
        <w:rPr>
          <w:rFonts w:asciiTheme="minorHAnsi" w:eastAsia="Times New Roman" w:hAnsiTheme="minorHAnsi" w:cstheme="minorHAnsi"/>
          <w:b/>
          <w:bCs/>
          <w:noProof/>
          <w:sz w:val="32"/>
          <w:szCs w:val="32"/>
          <w:lang w:eastAsia="cs-CZ"/>
        </w:rPr>
        <w:drawing>
          <wp:anchor distT="0" distB="0" distL="114300" distR="114300" simplePos="0" relativeHeight="251663360" behindDoc="1" locked="0" layoutInCell="1" allowOverlap="1" wp14:anchorId="4115932A" wp14:editId="73BB861A">
            <wp:simplePos x="0" y="0"/>
            <wp:positionH relativeFrom="column">
              <wp:posOffset>577</wp:posOffset>
            </wp:positionH>
            <wp:positionV relativeFrom="paragraph">
              <wp:posOffset>870297</wp:posOffset>
            </wp:positionV>
            <wp:extent cx="5400675" cy="1657350"/>
            <wp:effectExtent l="19050" t="0" r="9525" b="0"/>
            <wp:wrapTight wrapText="bothSides">
              <wp:wrapPolygon edited="0">
                <wp:start x="152" y="497"/>
                <wp:lineTo x="-76" y="1738"/>
                <wp:lineTo x="-76" y="19862"/>
                <wp:lineTo x="152" y="21103"/>
                <wp:lineTo x="21410" y="21103"/>
                <wp:lineTo x="21486" y="20607"/>
                <wp:lineTo x="21562" y="18621"/>
                <wp:lineTo x="21562" y="1986"/>
                <wp:lineTo x="21410" y="497"/>
                <wp:lineTo x="152" y="497"/>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00592645" w:rsidRPr="000E0AF9">
        <w:rPr>
          <w:rFonts w:asciiTheme="minorHAnsi" w:hAnsiTheme="minorHAnsi" w:cstheme="minorHAnsi"/>
        </w:rPr>
        <w:t>Zvyšování motivace zaměstnavatelů k vytváření udržitelných pracovních míst s využitím nástrojů jako jsou pracovní místa na zkoušku</w:t>
      </w:r>
      <w:r w:rsidR="00592645" w:rsidRPr="000E0AF9">
        <w:rPr>
          <w:rStyle w:val="Znakapoznpodarou"/>
          <w:rFonts w:asciiTheme="minorHAnsi" w:hAnsiTheme="minorHAnsi" w:cstheme="minorHAnsi"/>
        </w:rPr>
        <w:footnoteReference w:id="10"/>
      </w:r>
      <w:r w:rsidR="00592645" w:rsidRPr="000E0AF9">
        <w:rPr>
          <w:rFonts w:asciiTheme="minorHAnsi" w:hAnsiTheme="minorHAnsi" w:cstheme="minorHAnsi"/>
        </w:rPr>
        <w:t xml:space="preserve">, pracovní místa ve prospěch obcí a veřejně prospěšných institucí, pracovní místa u soukromých zaměstnavatelů, krátkodobé pracovní příležitosti, sezónní pracovní místa, pracovní trénink, placené odborné praxe a stáže, </w:t>
      </w:r>
      <w:proofErr w:type="spellStart"/>
      <w:r w:rsidR="00592645" w:rsidRPr="000E0AF9">
        <w:rPr>
          <w:rFonts w:asciiTheme="minorHAnsi" w:hAnsiTheme="minorHAnsi" w:cstheme="minorHAnsi"/>
        </w:rPr>
        <w:t>mentoring</w:t>
      </w:r>
      <w:proofErr w:type="spellEnd"/>
      <w:r w:rsidR="00592645" w:rsidRPr="000E0AF9">
        <w:rPr>
          <w:rFonts w:asciiTheme="minorHAnsi" w:hAnsiTheme="minorHAnsi" w:cstheme="minorHAnsi"/>
        </w:rPr>
        <w:t xml:space="preserve"> apod.</w:t>
      </w:r>
      <w:r w:rsidR="00592645" w:rsidRPr="000E0AF9">
        <w:rPr>
          <w:rFonts w:asciiTheme="minorHAnsi" w:eastAsia="Times New Roman" w:hAnsiTheme="minorHAnsi" w:cstheme="minorHAnsi"/>
          <w:b/>
          <w:bCs/>
          <w:lang w:eastAsia="cs-CZ"/>
        </w:rPr>
        <w:t xml:space="preserve">   </w:t>
      </w:r>
    </w:p>
    <w:p w:rsidR="00592645" w:rsidRDefault="00592645">
      <w:r w:rsidRPr="00592645">
        <w:rPr>
          <w:noProof/>
          <w:sz w:val="32"/>
          <w:szCs w:val="32"/>
          <w:lang w:eastAsia="cs-CZ"/>
        </w:rPr>
        <w:drawing>
          <wp:anchor distT="0" distB="0" distL="114300" distR="114300" simplePos="0" relativeHeight="251665408" behindDoc="1" locked="0" layoutInCell="1" allowOverlap="1" wp14:anchorId="1137C8DB" wp14:editId="2421241F">
            <wp:simplePos x="0" y="0"/>
            <wp:positionH relativeFrom="column">
              <wp:posOffset>0</wp:posOffset>
            </wp:positionH>
            <wp:positionV relativeFrom="paragraph">
              <wp:posOffset>1528502</wp:posOffset>
            </wp:positionV>
            <wp:extent cx="5343525" cy="885825"/>
            <wp:effectExtent l="0" t="0" r="9525" b="9525"/>
            <wp:wrapTight wrapText="bothSides">
              <wp:wrapPolygon edited="0">
                <wp:start x="7932" y="0"/>
                <wp:lineTo x="0" y="465"/>
                <wp:lineTo x="0" y="21368"/>
                <wp:lineTo x="5698" y="21368"/>
                <wp:lineTo x="21561" y="21368"/>
                <wp:lineTo x="21561" y="0"/>
                <wp:lineTo x="7932"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sectPr w:rsidR="00592645">
      <w:head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F97" w:rsidRDefault="00816F97" w:rsidP="00592645">
      <w:pPr>
        <w:spacing w:after="0" w:line="240" w:lineRule="auto"/>
      </w:pPr>
      <w:r>
        <w:separator/>
      </w:r>
    </w:p>
  </w:endnote>
  <w:endnote w:type="continuationSeparator" w:id="0">
    <w:p w:rsidR="00816F97" w:rsidRDefault="00816F97" w:rsidP="0059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F97" w:rsidRDefault="00816F97" w:rsidP="00592645">
      <w:pPr>
        <w:spacing w:after="0" w:line="240" w:lineRule="auto"/>
      </w:pPr>
      <w:r>
        <w:separator/>
      </w:r>
    </w:p>
  </w:footnote>
  <w:footnote w:type="continuationSeparator" w:id="0">
    <w:p w:rsidR="00816F97" w:rsidRDefault="00816F97" w:rsidP="00592645">
      <w:pPr>
        <w:spacing w:after="0" w:line="240" w:lineRule="auto"/>
      </w:pPr>
      <w:r>
        <w:continuationSeparator/>
      </w:r>
    </w:p>
  </w:footnote>
  <w:footnote w:id="1">
    <w:p w:rsidR="00592645" w:rsidRDefault="00592645" w:rsidP="00592645">
      <w:pPr>
        <w:pStyle w:val="Textpoznpodarou"/>
      </w:pPr>
      <w:r>
        <w:rPr>
          <w:rStyle w:val="Znakapoznpodarou"/>
        </w:rPr>
        <w:footnoteRef/>
      </w:r>
      <w:r>
        <w:t xml:space="preserve"> Po dobu realizace projektů není vyloučena možnost zároveň žádat ÚP ČR o poskytnutí </w:t>
      </w:r>
      <w:r w:rsidRPr="00362F45">
        <w:rPr>
          <w:b/>
        </w:rPr>
        <w:t>příspěvku na zapracování</w:t>
      </w:r>
      <w:r>
        <w:t xml:space="preserve"> (poskytuje se zaměstnavateli, pokud přijímá do pracovního poměru uchazeče o zaměstnání, kterému je věnována zvýšená péče), případně </w:t>
      </w:r>
      <w:r w:rsidRPr="00362F45">
        <w:rPr>
          <w:b/>
        </w:rPr>
        <w:t>překlenovacího příspěvku</w:t>
      </w:r>
      <w:r>
        <w:t xml:space="preserve"> dle zákona č. 435/2004 Sb., o zaměstnanosti.</w:t>
      </w:r>
    </w:p>
  </w:footnote>
  <w:footnote w:id="2">
    <w:p w:rsidR="00592645" w:rsidRPr="00AC27B5" w:rsidRDefault="00592645" w:rsidP="00592645">
      <w:pPr>
        <w:pStyle w:val="normln4"/>
        <w:keepNext/>
        <w:rPr>
          <w:rFonts w:ascii="Calibri" w:hAnsi="Calibri" w:cs="Arial"/>
          <w:i/>
          <w:sz w:val="18"/>
          <w:szCs w:val="18"/>
        </w:rPr>
      </w:pPr>
      <w:r w:rsidRPr="008D34F4">
        <w:rPr>
          <w:rStyle w:val="Znakapoznpodarou"/>
          <w:rFonts w:ascii="Calibri" w:hAnsi="Calibri" w:cs="Arial"/>
          <w:i/>
          <w:sz w:val="18"/>
          <w:szCs w:val="18"/>
        </w:rPr>
        <w:footnoteRef/>
      </w:r>
      <w:r w:rsidRPr="008D34F4">
        <w:rPr>
          <w:rFonts w:ascii="Calibri" w:hAnsi="Calibri" w:cs="Arial"/>
          <w:i/>
          <w:sz w:val="18"/>
          <w:szCs w:val="18"/>
        </w:rPr>
        <w:t xml:space="preserve"> Způsobilým nákladem j</w:t>
      </w:r>
      <w:r>
        <w:rPr>
          <w:rFonts w:ascii="Calibri" w:hAnsi="Calibri" w:cs="Arial"/>
          <w:i/>
          <w:sz w:val="18"/>
          <w:szCs w:val="18"/>
        </w:rPr>
        <w:t>sou</w:t>
      </w:r>
      <w:r w:rsidRPr="008D34F4">
        <w:rPr>
          <w:rFonts w:ascii="Calibri" w:hAnsi="Calibri" w:cs="Arial"/>
          <w:i/>
          <w:sz w:val="18"/>
          <w:szCs w:val="18"/>
        </w:rPr>
        <w:t xml:space="preserve"> </w:t>
      </w:r>
      <w:r>
        <w:rPr>
          <w:rFonts w:ascii="Calibri" w:hAnsi="Calibri" w:cs="Arial"/>
          <w:i/>
          <w:sz w:val="18"/>
          <w:szCs w:val="18"/>
        </w:rPr>
        <w:t>o</w:t>
      </w:r>
      <w:r w:rsidRPr="00AC27B5">
        <w:rPr>
          <w:rFonts w:ascii="Calibri" w:hAnsi="Calibri" w:cs="Arial"/>
          <w:i/>
          <w:sz w:val="18"/>
          <w:szCs w:val="18"/>
        </w:rPr>
        <w:t>sobní náklady týkající se mentora, a to v souvislosti se zaměstnáním osoby z cílové skupiny a jejím zaučováním u daného zaměstnavatele.</w:t>
      </w:r>
      <w:r>
        <w:rPr>
          <w:rFonts w:ascii="Calibri" w:hAnsi="Calibri" w:cs="Arial"/>
          <w:i/>
          <w:sz w:val="18"/>
          <w:szCs w:val="18"/>
        </w:rPr>
        <w:t xml:space="preserve"> Mentor je součástí realizačního týmu, výdaje jsou vypláceny na základě pracovní smlouvy nebo dohod konaných mimo pracovní poměr (platí pravidlo o obvyklých mzdách/platech). Náklady na mentora lze také hradit jako nákup služeb od dodavatele na základě dodavatelské smlouvy.</w:t>
      </w:r>
    </w:p>
  </w:footnote>
  <w:footnote w:id="3">
    <w:p w:rsidR="00592645" w:rsidRPr="00AC27B5" w:rsidRDefault="00592645" w:rsidP="00592645">
      <w:pPr>
        <w:pStyle w:val="Odstavecseseznamem"/>
        <w:spacing w:after="200"/>
        <w:ind w:left="0"/>
        <w:rPr>
          <w:rFonts w:cs="Arial"/>
          <w:i/>
          <w:sz w:val="18"/>
          <w:szCs w:val="18"/>
        </w:rPr>
      </w:pPr>
      <w:r w:rsidRPr="00AC27B5">
        <w:rPr>
          <w:rStyle w:val="Znakapoznpodarou"/>
          <w:rFonts w:cs="Arial"/>
          <w:i/>
          <w:sz w:val="18"/>
          <w:szCs w:val="18"/>
        </w:rPr>
        <w:footnoteRef/>
      </w:r>
      <w:r w:rsidRPr="00AC27B5">
        <w:rPr>
          <w:rFonts w:cs="Arial"/>
          <w:i/>
          <w:sz w:val="18"/>
          <w:szCs w:val="18"/>
        </w:rPr>
        <w:t xml:space="preserve"> Podpora souladu mezi schopnostním, vzdělanostním a pracovním potenciálem osob a možností jejich reálného uplatnění na trhu práce; pracovní diagnostika jako subsystém bilanční diagnostiky se přímo zaměřuje na možnosti konkrétního pracovního uplatnění odpovídajícího schopnostem a zájmům klienta. Diagnostiku lze využívat v opodstatněných případech a v cenách obvyklých a musí směřovat k psychodiagnostickému zhodnocení a posouzení pracovních a psychických předpokladů osoby z cílové skupiny ve vztahu k možnostem jejího dalšího pracovního uplatnění. Aktivita musí být realizována oprávněnou osobou (zpravidla psycholog), výstupem je pak závěrečná zpráva z provedené diagnostiky. Zapojení této aktivity do projektu musí mít přímou vazbu na další klíčové aktivity projektu a musí být vhodné s ohledem na charakter zvolené cílové skupiny.</w:t>
      </w:r>
    </w:p>
  </w:footnote>
  <w:footnote w:id="4">
    <w:p w:rsidR="00592645" w:rsidRPr="00AC27B5" w:rsidRDefault="00592645" w:rsidP="00592645">
      <w:pPr>
        <w:pStyle w:val="Odstavecseseznamem"/>
        <w:ind w:left="0"/>
        <w:rPr>
          <w:i/>
          <w:sz w:val="18"/>
          <w:szCs w:val="18"/>
        </w:rPr>
      </w:pPr>
      <w:r w:rsidRPr="00AC27B5">
        <w:rPr>
          <w:rStyle w:val="Znakapoznpodarou"/>
          <w:rFonts w:cs="Arial"/>
          <w:i/>
          <w:sz w:val="18"/>
          <w:szCs w:val="18"/>
        </w:rPr>
        <w:footnoteRef/>
      </w:r>
      <w:r w:rsidRPr="00AC27B5">
        <w:rPr>
          <w:rFonts w:cs="Arial"/>
          <w:i/>
          <w:sz w:val="18"/>
          <w:szCs w:val="18"/>
        </w:rPr>
        <w:t xml:space="preserve"> Podpora při získání nové kvalifikace, při zvyšování, rozšiřování nebo prohlubování dosavadní kvalifikace, včetně jejího udržování a obnovování, jež odpovídá potřebám cílové skupiny, a povede k její projektem deklarované přímé uplatnitelnosti na trhu práce. Podpora především akreditovaných rekvalifikací (dle potřeb budoucího zaměstnavatele). Při realizaci rekvalifikací se musí příjemce podpory řídit zákonem č. 435/2004 Sb., o zaměstnanosti. Bud</w:t>
      </w:r>
      <w:r>
        <w:rPr>
          <w:rFonts w:cs="Arial"/>
          <w:i/>
          <w:sz w:val="18"/>
          <w:szCs w:val="18"/>
        </w:rPr>
        <w:t>e</w:t>
      </w:r>
      <w:r w:rsidRPr="00AC27B5">
        <w:rPr>
          <w:rFonts w:cs="Arial"/>
          <w:i/>
          <w:sz w:val="18"/>
          <w:szCs w:val="18"/>
        </w:rPr>
        <w:t xml:space="preserve"> podporován</w:t>
      </w:r>
      <w:r>
        <w:rPr>
          <w:rFonts w:cs="Arial"/>
          <w:i/>
          <w:sz w:val="18"/>
          <w:szCs w:val="18"/>
        </w:rPr>
        <w:t xml:space="preserve">o </w:t>
      </w:r>
      <w:r w:rsidRPr="00AC27B5">
        <w:rPr>
          <w:rFonts w:cs="Arial"/>
          <w:i/>
          <w:sz w:val="18"/>
          <w:szCs w:val="18"/>
        </w:rPr>
        <w:t>další vzdělávání podle zákona č. 179/2006 Sb., o ověřování a uznávání výsledků dalšího vzdělávání (včetně zkoušek).</w:t>
      </w:r>
    </w:p>
  </w:footnote>
  <w:footnote w:id="5">
    <w:p w:rsidR="00592645" w:rsidRPr="00FC0752" w:rsidRDefault="00592645" w:rsidP="00592645">
      <w:pPr>
        <w:pStyle w:val="Textpoznpodarou"/>
        <w:spacing w:line="240" w:lineRule="auto"/>
        <w:jc w:val="both"/>
        <w:rPr>
          <w:i/>
          <w:szCs w:val="18"/>
        </w:rPr>
      </w:pPr>
      <w:r w:rsidRPr="00FC0752">
        <w:rPr>
          <w:rStyle w:val="Znakapoznpodarou"/>
          <w:i/>
          <w:szCs w:val="18"/>
        </w:rPr>
        <w:footnoteRef/>
      </w:r>
      <w:r w:rsidRPr="00FC0752">
        <w:rPr>
          <w:i/>
          <w:szCs w:val="18"/>
        </w:rPr>
        <w:t xml:space="preserve"> Pokud bude účastníkům v rámci projektu zajištěno (zprostředkováno) zaměstnání (nové pracovní místo, umístění na uvolněné pracovní místo či pracovní místo na zkoušku) u jiných zaměstnavatelů než je příjemce či partner (u tzv. 3. organizací), musí žadatel disponovat povolením ke zprostředkování zaměstnání (dle § 60 odst. 1 písm. a) </w:t>
      </w:r>
      <w:r>
        <w:rPr>
          <w:i/>
          <w:szCs w:val="18"/>
        </w:rPr>
        <w:t>z</w:t>
      </w:r>
      <w:r w:rsidRPr="00FC0752">
        <w:rPr>
          <w:i/>
          <w:szCs w:val="18"/>
        </w:rPr>
        <w:t xml:space="preserve">ákona č. 435/2004 Sb., o zaměstnanosti). Pokud ho žadatel nemá, může: </w:t>
      </w:r>
    </w:p>
    <w:p w:rsidR="00592645" w:rsidRPr="00FC0752" w:rsidRDefault="00592645" w:rsidP="00592645">
      <w:pPr>
        <w:pStyle w:val="Textpoznpodarou"/>
        <w:spacing w:line="240" w:lineRule="auto"/>
        <w:jc w:val="both"/>
        <w:rPr>
          <w:i/>
          <w:szCs w:val="18"/>
        </w:rPr>
      </w:pPr>
      <w:r w:rsidRPr="00FC0752">
        <w:rPr>
          <w:i/>
          <w:szCs w:val="18"/>
        </w:rPr>
        <w:t xml:space="preserve">- o něj požádat a příslušnou aktivitu zahájit až po jeho přidělení (získání tohoto povolení je podmíněno splněním stanovených podmínek); </w:t>
      </w:r>
    </w:p>
    <w:p w:rsidR="00592645" w:rsidRPr="00FC0752" w:rsidRDefault="00592645" w:rsidP="00592645">
      <w:pPr>
        <w:pStyle w:val="Textpoznpodarou"/>
        <w:spacing w:line="240" w:lineRule="auto"/>
        <w:jc w:val="both"/>
        <w:rPr>
          <w:i/>
          <w:szCs w:val="18"/>
        </w:rPr>
      </w:pPr>
      <w:r w:rsidRPr="00FC0752">
        <w:rPr>
          <w:i/>
          <w:szCs w:val="18"/>
        </w:rPr>
        <w:t xml:space="preserve">- činnost zajistit prostřednictvím partnera, který disponuje tímto povolením, ale za podmínky, že partner bude vykonávat i další aktivity nesouvisející se zprostředkováním a které může dle metodiky OPZ partner zajistit; </w:t>
      </w:r>
    </w:p>
    <w:p w:rsidR="00592645" w:rsidRPr="00FC0752" w:rsidRDefault="00592645" w:rsidP="00592645">
      <w:pPr>
        <w:pStyle w:val="Textpoznpodarou"/>
        <w:spacing w:line="240" w:lineRule="auto"/>
        <w:jc w:val="both"/>
        <w:rPr>
          <w:i/>
          <w:szCs w:val="18"/>
        </w:rPr>
      </w:pPr>
      <w:r w:rsidRPr="00FC0752">
        <w:rPr>
          <w:i/>
          <w:szCs w:val="18"/>
        </w:rPr>
        <w:t>- tuto činnost zajistit prostřednictvím nákupu služby od dodavatele (agentury práce);</w:t>
      </w:r>
    </w:p>
    <w:p w:rsidR="00592645" w:rsidRPr="00FC0752" w:rsidRDefault="00592645" w:rsidP="00592645">
      <w:pPr>
        <w:pStyle w:val="Textpoznpodarou"/>
        <w:spacing w:line="240" w:lineRule="auto"/>
        <w:jc w:val="both"/>
        <w:rPr>
          <w:i/>
          <w:szCs w:val="18"/>
        </w:rPr>
      </w:pPr>
      <w:r w:rsidRPr="00FC0752">
        <w:rPr>
          <w:i/>
          <w:szCs w:val="18"/>
        </w:rPr>
        <w:t>- tuto činnost zajistit prostřednictvím partnerství s ÚP ČR.</w:t>
      </w:r>
    </w:p>
    <w:p w:rsidR="00592645" w:rsidRPr="00AC27B5" w:rsidRDefault="00592645" w:rsidP="00592645">
      <w:pPr>
        <w:pStyle w:val="Textpoznpodarou"/>
        <w:spacing w:line="240" w:lineRule="auto"/>
        <w:jc w:val="both"/>
        <w:rPr>
          <w:i/>
          <w:szCs w:val="18"/>
        </w:rPr>
      </w:pPr>
      <w:r w:rsidRPr="00FC0752">
        <w:rPr>
          <w:i/>
          <w:szCs w:val="18"/>
        </w:rPr>
        <w:t xml:space="preserve">Pro vytváření pracovních míst, umístění na pracovní místa či </w:t>
      </w:r>
      <w:r>
        <w:rPr>
          <w:i/>
          <w:szCs w:val="18"/>
        </w:rPr>
        <w:t xml:space="preserve">vytváření </w:t>
      </w:r>
      <w:r w:rsidRPr="00FC0752">
        <w:rPr>
          <w:i/>
          <w:szCs w:val="18"/>
        </w:rPr>
        <w:t>pracovní</w:t>
      </w:r>
      <w:r>
        <w:rPr>
          <w:i/>
          <w:szCs w:val="18"/>
        </w:rPr>
        <w:t>ch</w:t>
      </w:r>
      <w:r w:rsidRPr="00FC0752">
        <w:rPr>
          <w:i/>
          <w:szCs w:val="18"/>
        </w:rPr>
        <w:t xml:space="preserve"> míst na zkoušku přímo u žadatele či jeho partnera není povolení vyžadováno.</w:t>
      </w:r>
    </w:p>
  </w:footnote>
  <w:footnote w:id="6">
    <w:p w:rsidR="00592645" w:rsidRDefault="00592645" w:rsidP="00592645">
      <w:pPr>
        <w:pStyle w:val="Textpoznpodarou"/>
      </w:pPr>
      <w:r>
        <w:rPr>
          <w:rStyle w:val="Znakapoznpodarou"/>
        </w:rPr>
        <w:footnoteRef/>
      </w:r>
      <w:r>
        <w:t xml:space="preserve"> Doporučuje se do projektu v rámci výběru vhodné cílové skupiny zařadit aktivitu diagnostiky, která přispěje k výběru vhodných osob</w:t>
      </w:r>
    </w:p>
  </w:footnote>
  <w:footnote w:id="7">
    <w:p w:rsidR="00592645" w:rsidRPr="00D6713B" w:rsidRDefault="00592645" w:rsidP="00592645">
      <w:pPr>
        <w:pStyle w:val="Odstavecseseznamem"/>
        <w:spacing w:after="200"/>
        <w:ind w:left="0"/>
        <w:rPr>
          <w:i/>
          <w:sz w:val="18"/>
          <w:szCs w:val="18"/>
        </w:rPr>
      </w:pPr>
      <w:r w:rsidRPr="00D6713B">
        <w:rPr>
          <w:rStyle w:val="Znakapoznpodarou"/>
          <w:i/>
          <w:sz w:val="18"/>
          <w:szCs w:val="18"/>
        </w:rPr>
        <w:footnoteRef/>
      </w:r>
      <w:r w:rsidRPr="00D6713B">
        <w:rPr>
          <w:i/>
          <w:sz w:val="18"/>
          <w:szCs w:val="18"/>
        </w:rPr>
        <w:t xml:space="preserve"> </w:t>
      </w:r>
      <w:r>
        <w:rPr>
          <w:i/>
          <w:sz w:val="18"/>
          <w:szCs w:val="18"/>
        </w:rPr>
        <w:t>Realizovat lze pouze projekty, které aktivně podporují cílové skupiny při jejich uplatnění na trhu práce. Součástí projektu musí</w:t>
      </w:r>
      <w:r w:rsidRPr="00D6713B">
        <w:rPr>
          <w:i/>
          <w:sz w:val="18"/>
          <w:szCs w:val="18"/>
        </w:rPr>
        <w:t xml:space="preserve"> být </w:t>
      </w:r>
      <w:r w:rsidRPr="00D6713B">
        <w:rPr>
          <w:rFonts w:cs="Arial"/>
          <w:i/>
          <w:sz w:val="18"/>
          <w:szCs w:val="18"/>
        </w:rPr>
        <w:t>zprostředkování zaměstnán</w:t>
      </w:r>
      <w:r>
        <w:rPr>
          <w:rFonts w:cs="Arial"/>
          <w:i/>
          <w:sz w:val="18"/>
          <w:szCs w:val="18"/>
        </w:rPr>
        <w:t>í, tvorba nových pracovních míst</w:t>
      </w:r>
      <w:r w:rsidRPr="00D6713B">
        <w:rPr>
          <w:rFonts w:cs="Arial"/>
          <w:i/>
          <w:sz w:val="18"/>
          <w:szCs w:val="18"/>
        </w:rPr>
        <w:t xml:space="preserve"> nebo umístění na uvolněná pracovní místa apod.</w:t>
      </w:r>
    </w:p>
  </w:footnote>
  <w:footnote w:id="8">
    <w:p w:rsidR="00592645" w:rsidRDefault="00592645" w:rsidP="00592645">
      <w:pPr>
        <w:pStyle w:val="Textpoznpodarou"/>
        <w:spacing w:line="240" w:lineRule="auto"/>
        <w:jc w:val="both"/>
      </w:pPr>
      <w:r w:rsidRPr="008B3858">
        <w:rPr>
          <w:rStyle w:val="Znakapoznpodarou"/>
          <w:i/>
        </w:rPr>
        <w:footnoteRef/>
      </w:r>
      <w:r w:rsidRPr="008B3858">
        <w:rPr>
          <w:i/>
        </w:rPr>
        <w:t xml:space="preserve"> Lokální burzy práce musí být koordinovány s burzami práce realizovanými ÚP ČR.</w:t>
      </w:r>
    </w:p>
  </w:footnote>
  <w:footnote w:id="9">
    <w:p w:rsidR="00592645" w:rsidRPr="00D6713B" w:rsidRDefault="00592645" w:rsidP="00592645">
      <w:pPr>
        <w:pStyle w:val="Odstavecseseznamem"/>
        <w:spacing w:after="200"/>
        <w:ind w:left="0"/>
        <w:rPr>
          <w:rFonts w:cs="Arial"/>
          <w:i/>
          <w:sz w:val="18"/>
          <w:szCs w:val="18"/>
        </w:rPr>
      </w:pPr>
      <w:r w:rsidRPr="008D34F4">
        <w:rPr>
          <w:rStyle w:val="Znakapoznpodarou"/>
          <w:rFonts w:cs="Arial"/>
          <w:i/>
          <w:sz w:val="18"/>
          <w:szCs w:val="18"/>
        </w:rPr>
        <w:footnoteRef/>
      </w:r>
      <w:r w:rsidRPr="008D34F4">
        <w:rPr>
          <w:rFonts w:cs="Arial"/>
          <w:i/>
          <w:sz w:val="18"/>
          <w:szCs w:val="18"/>
        </w:rPr>
        <w:t xml:space="preserve"> Systém prostupného zaměstnávání má krok po kroku prostřednictvím podpůrných opatření podle individuálních potřeb dovést osoby bez práce, osoby s minimální pracovní zkušeností a osoby s žádnými nebo zkreslenými představami o fungování světa zaměstnání na legální trh práce a pomoci jim na něm uspět: vštípit jim návyky, dovednosti a kompetence, bez kterých se na trhu práce neobejdou, zorientovat je, vzdělat v konkrétních dovednostech, zacvičit, změkčit přechod do neznámého prostředí a vytvořit pro ně pracovní příležitosti. Aby bylo opatření účinné, musí být prostupné zaměstnávání doprovázeno komplexními poradenskými službami, motivačními aktivitami, rekvalifikacemi, pracovní asistencí, podpůrnými </w:t>
      </w:r>
      <w:r w:rsidRPr="00D6713B">
        <w:rPr>
          <w:rFonts w:cs="Arial"/>
          <w:i/>
          <w:sz w:val="18"/>
          <w:szCs w:val="18"/>
        </w:rPr>
        <w:t>službami</w:t>
      </w:r>
      <w:r>
        <w:rPr>
          <w:rFonts w:cs="Arial"/>
          <w:i/>
          <w:sz w:val="18"/>
          <w:szCs w:val="18"/>
        </w:rPr>
        <w:t xml:space="preserve"> typu dluhové poradenství apod. </w:t>
      </w:r>
    </w:p>
  </w:footnote>
  <w:footnote w:id="10">
    <w:p w:rsidR="00592645" w:rsidRPr="007F411A" w:rsidRDefault="00592645" w:rsidP="00592645">
      <w:pPr>
        <w:pStyle w:val="Textpoznpodarou"/>
        <w:spacing w:line="240" w:lineRule="auto"/>
        <w:jc w:val="both"/>
        <w:rPr>
          <w:rFonts w:cs="Arial"/>
          <w:i/>
          <w:szCs w:val="18"/>
        </w:rPr>
      </w:pPr>
      <w:r>
        <w:rPr>
          <w:rStyle w:val="Znakapoznpodarou"/>
        </w:rPr>
        <w:footnoteRef/>
      </w:r>
      <w:r>
        <w:t xml:space="preserve"> </w:t>
      </w:r>
      <w:r w:rsidRPr="004370B4">
        <w:rPr>
          <w:rFonts w:cs="Arial"/>
          <w:i/>
          <w:szCs w:val="18"/>
        </w:rPr>
        <w:t xml:space="preserve">Pracovní místa na zkoušku jsou místa určená pro ověření teoretických znalostí získaných v rekvalifikačním nebo vzdělávacím </w:t>
      </w:r>
      <w:r w:rsidRPr="007F411A">
        <w:rPr>
          <w:rFonts w:cs="Arial"/>
          <w:i/>
          <w:szCs w:val="18"/>
        </w:rPr>
        <w:t xml:space="preserve">kurzu v praxi. </w:t>
      </w:r>
      <w:proofErr w:type="spellStart"/>
      <w:r>
        <w:rPr>
          <w:rFonts w:cs="Arial"/>
          <w:i/>
          <w:szCs w:val="18"/>
        </w:rPr>
        <w:t>Např</w:t>
      </w:r>
      <w:proofErr w:type="spellEnd"/>
      <w:r w:rsidRPr="007F411A">
        <w:rPr>
          <w:rFonts w:cs="Arial"/>
          <w:i/>
          <w:szCs w:val="18"/>
        </w:rPr>
        <w:t>:</w:t>
      </w:r>
    </w:p>
    <w:p w:rsidR="00592645" w:rsidRDefault="00592645" w:rsidP="00592645">
      <w:pPr>
        <w:pStyle w:val="Textpoznpodarou"/>
        <w:numPr>
          <w:ilvl w:val="0"/>
          <w:numId w:val="7"/>
        </w:numPr>
        <w:spacing w:line="240" w:lineRule="auto"/>
        <w:jc w:val="both"/>
        <w:rPr>
          <w:rFonts w:cs="Arial"/>
          <w:i/>
          <w:szCs w:val="18"/>
        </w:rPr>
      </w:pPr>
      <w:r w:rsidRPr="007F411A">
        <w:rPr>
          <w:rFonts w:cs="Arial"/>
          <w:i/>
          <w:szCs w:val="18"/>
        </w:rPr>
        <w:t xml:space="preserve">Nekolidující zaměstnání </w:t>
      </w:r>
      <w:r>
        <w:rPr>
          <w:rFonts w:cs="Arial"/>
          <w:i/>
          <w:szCs w:val="18"/>
        </w:rPr>
        <w:t>-</w:t>
      </w:r>
      <w:r w:rsidRPr="007F411A">
        <w:rPr>
          <w:rFonts w:cs="Arial"/>
          <w:i/>
          <w:szCs w:val="18"/>
        </w:rPr>
        <w:t xml:space="preserve"> uchazeč zůstává v evidenci ÚP</w:t>
      </w:r>
      <w:r>
        <w:rPr>
          <w:rFonts w:cs="Arial"/>
          <w:i/>
          <w:szCs w:val="18"/>
        </w:rPr>
        <w:t xml:space="preserve"> ČR a jeho měsíční odměna nepřesáhne polovinu minimální mzdy</w:t>
      </w:r>
    </w:p>
    <w:p w:rsidR="00592645" w:rsidRPr="00592645" w:rsidRDefault="00592645" w:rsidP="00592645">
      <w:pPr>
        <w:pStyle w:val="Textpoznpodarou"/>
        <w:numPr>
          <w:ilvl w:val="0"/>
          <w:numId w:val="7"/>
        </w:numPr>
        <w:spacing w:line="240" w:lineRule="auto"/>
        <w:jc w:val="both"/>
        <w:rPr>
          <w:rFonts w:cs="Arial"/>
          <w:i/>
          <w:szCs w:val="18"/>
        </w:rPr>
      </w:pPr>
      <w:r>
        <w:rPr>
          <w:rFonts w:cs="Arial"/>
          <w:i/>
          <w:szCs w:val="18"/>
        </w:rPr>
        <w:t>K</w:t>
      </w:r>
      <w:r w:rsidRPr="004370B4">
        <w:rPr>
          <w:rFonts w:cs="Arial"/>
          <w:i/>
          <w:szCs w:val="18"/>
        </w:rPr>
        <w:t xml:space="preserve">rátkodobé zaměstnání </w:t>
      </w:r>
      <w:r>
        <w:rPr>
          <w:rFonts w:cs="Arial"/>
          <w:i/>
          <w:szCs w:val="18"/>
        </w:rPr>
        <w:t>- podle § 25 odst. 6 z</w:t>
      </w:r>
      <w:r w:rsidRPr="004370B4">
        <w:rPr>
          <w:rFonts w:cs="Arial"/>
          <w:i/>
          <w:szCs w:val="18"/>
        </w:rPr>
        <w:t xml:space="preserve">ákona </w:t>
      </w:r>
      <w:r>
        <w:rPr>
          <w:rFonts w:cs="Arial"/>
          <w:i/>
          <w:szCs w:val="18"/>
        </w:rPr>
        <w:t xml:space="preserve">č. 435/2004 Sb., </w:t>
      </w:r>
      <w:r w:rsidRPr="004370B4">
        <w:rPr>
          <w:rFonts w:cs="Arial"/>
          <w:i/>
          <w:szCs w:val="18"/>
        </w:rPr>
        <w:t>o zaměstnanosti, t</w:t>
      </w:r>
      <w:r>
        <w:rPr>
          <w:rFonts w:cs="Arial"/>
          <w:i/>
          <w:szCs w:val="18"/>
        </w:rPr>
        <w:t>j.</w:t>
      </w:r>
      <w:r w:rsidRPr="004370B4">
        <w:rPr>
          <w:rFonts w:cs="Arial"/>
          <w:i/>
          <w:szCs w:val="18"/>
        </w:rPr>
        <w:t xml:space="preserve"> pracovní příležitost, která je zprostředkována uchazeči </w:t>
      </w:r>
      <w:r>
        <w:rPr>
          <w:rFonts w:cs="Arial"/>
          <w:i/>
          <w:szCs w:val="18"/>
        </w:rPr>
        <w:t>ÚP</w:t>
      </w:r>
      <w:r w:rsidRPr="004370B4">
        <w:rPr>
          <w:rFonts w:cs="Arial"/>
          <w:i/>
          <w:szCs w:val="18"/>
        </w:rPr>
        <w:t xml:space="preserve"> ČR, není pro </w:t>
      </w:r>
      <w:r>
        <w:rPr>
          <w:rFonts w:cs="Arial"/>
          <w:i/>
          <w:szCs w:val="18"/>
        </w:rPr>
        <w:t>uchazeče</w:t>
      </w:r>
      <w:r w:rsidRPr="004370B4">
        <w:rPr>
          <w:rFonts w:cs="Arial"/>
          <w:i/>
          <w:szCs w:val="18"/>
        </w:rPr>
        <w:t xml:space="preserve"> vhodným zaměstnáním (§</w:t>
      </w:r>
      <w:r>
        <w:rPr>
          <w:rFonts w:cs="Arial"/>
          <w:i/>
          <w:szCs w:val="18"/>
        </w:rPr>
        <w:t xml:space="preserve"> </w:t>
      </w:r>
      <w:r w:rsidRPr="004370B4">
        <w:rPr>
          <w:rFonts w:cs="Arial"/>
          <w:i/>
          <w:szCs w:val="18"/>
        </w:rPr>
        <w:t>20) a netrvá déle než 3 měsíce</w:t>
      </w:r>
      <w:r>
        <w:rPr>
          <w:rFonts w:cs="Arial"/>
          <w:i/>
          <w:szCs w:val="18"/>
        </w:rPr>
        <w:t>;</w:t>
      </w:r>
      <w:r w:rsidRPr="004370B4">
        <w:rPr>
          <w:rFonts w:cs="Arial"/>
          <w:i/>
          <w:szCs w:val="18"/>
        </w:rPr>
        <w:t xml:space="preserve"> v takovém případě je výkon t</w:t>
      </w:r>
      <w:r>
        <w:rPr>
          <w:rFonts w:cs="Arial"/>
          <w:i/>
          <w:szCs w:val="18"/>
        </w:rPr>
        <w:t>ohoto</w:t>
      </w:r>
      <w:r w:rsidRPr="004370B4">
        <w:rPr>
          <w:rFonts w:cs="Arial"/>
          <w:i/>
          <w:szCs w:val="18"/>
        </w:rPr>
        <w:t xml:space="preserve"> zaměstnání slučitelný bez ohledu na výši příjmu s vedením osoby v evidenci uchazečů o zaměstnání. Na takto zprostředkované </w:t>
      </w:r>
      <w:r w:rsidRPr="007F411A">
        <w:rPr>
          <w:rFonts w:cs="Arial"/>
          <w:i/>
          <w:szCs w:val="18"/>
        </w:rPr>
        <w:t>zaměstnání bude ÚP ČR rovněž</w:t>
      </w:r>
      <w:r w:rsidRPr="004370B4">
        <w:rPr>
          <w:rFonts w:cs="Arial"/>
          <w:i/>
          <w:szCs w:val="18"/>
        </w:rPr>
        <w:t xml:space="preserve"> poskytovat finanční příspěvky (VPP nebo SÚPM).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326" w:rsidRDefault="00A93326">
    <w:pPr>
      <w:pStyle w:val="Zhlav"/>
    </w:pPr>
    <w:r>
      <w:rPr>
        <w:noProof/>
        <w:lang w:eastAsia="cs-CZ"/>
      </w:rPr>
      <w:drawing>
        <wp:inline distT="0" distB="0" distL="0" distR="0" wp14:anchorId="61F3D4A6" wp14:editId="6231BFCA">
          <wp:extent cx="2867025" cy="591193"/>
          <wp:effectExtent l="0" t="0" r="0" b="0"/>
          <wp:docPr id="7" name="Obrázek 7"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drawing>
        <wp:inline distT="0" distB="0" distL="0" distR="0" wp14:anchorId="5AC0BEC8" wp14:editId="2F63F006">
          <wp:extent cx="1653540" cy="593648"/>
          <wp:effectExtent l="0" t="0" r="381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46D57"/>
    <w:multiLevelType w:val="multilevel"/>
    <w:tmpl w:val="9FD2D7EA"/>
    <w:lvl w:ilvl="0">
      <w:start w:val="1"/>
      <w:numFmt w:val="decimal"/>
      <w:pStyle w:val="Nadpis1"/>
      <w:lvlText w:val="%1"/>
      <w:lvlJc w:val="left"/>
      <w:pPr>
        <w:tabs>
          <w:tab w:val="num" w:pos="851"/>
        </w:tabs>
        <w:ind w:left="851" w:hanging="851"/>
      </w:pPr>
      <w:rPr>
        <w:rFonts w:hint="default"/>
      </w:rPr>
    </w:lvl>
    <w:lvl w:ilvl="1">
      <w:start w:val="1"/>
      <w:numFmt w:val="decimal"/>
      <w:pStyle w:val="Nadpis2"/>
      <w:lvlText w:val="%1.%2"/>
      <w:lvlJc w:val="left"/>
      <w:pPr>
        <w:tabs>
          <w:tab w:val="num" w:pos="4396"/>
        </w:tabs>
        <w:ind w:left="4396" w:hanging="851"/>
      </w:pPr>
      <w:rPr>
        <w:rFonts w:hint="default"/>
      </w:rPr>
    </w:lvl>
    <w:lvl w:ilvl="2">
      <w:start w:val="1"/>
      <w:numFmt w:val="decimal"/>
      <w:pStyle w:val="Nadpis3"/>
      <w:lvlText w:val="%1.%2.%3"/>
      <w:lvlJc w:val="left"/>
      <w:pPr>
        <w:tabs>
          <w:tab w:val="num" w:pos="851"/>
        </w:tabs>
        <w:ind w:left="851" w:hanging="851"/>
      </w:pPr>
      <w:rPr>
        <w:rFonts w:hint="default"/>
      </w:rPr>
    </w:lvl>
    <w:lvl w:ilvl="3">
      <w:start w:val="1"/>
      <w:numFmt w:val="decimal"/>
      <w:pStyle w:val="Nadpis4"/>
      <w:lvlText w:val="%1.%2.%3.%4"/>
      <w:lvlJc w:val="left"/>
      <w:pPr>
        <w:tabs>
          <w:tab w:val="num" w:pos="1247"/>
        </w:tabs>
        <w:ind w:left="1247" w:hanging="1247"/>
      </w:pPr>
      <w:rPr>
        <w:rFonts w:hint="default"/>
      </w:rPr>
    </w:lvl>
    <w:lvl w:ilvl="4">
      <w:start w:val="1"/>
      <w:numFmt w:val="decimal"/>
      <w:pStyle w:val="Nadpis5"/>
      <w:lvlText w:val="%1.%2.%3.%4.%5"/>
      <w:lvlJc w:val="left"/>
      <w:pPr>
        <w:tabs>
          <w:tab w:val="num" w:pos="1247"/>
        </w:tabs>
        <w:ind w:left="1247" w:hanging="1247"/>
      </w:pPr>
      <w:rPr>
        <w:rFonts w:hint="default"/>
      </w:rPr>
    </w:lvl>
    <w:lvl w:ilvl="5">
      <w:start w:val="1"/>
      <w:numFmt w:val="decimal"/>
      <w:pStyle w:val="Nadpis6"/>
      <w:lvlText w:val="%1.%2.%3.%4.%5.%6"/>
      <w:lvlJc w:val="left"/>
      <w:pPr>
        <w:tabs>
          <w:tab w:val="num" w:pos="1247"/>
        </w:tabs>
        <w:ind w:left="1247" w:hanging="1247"/>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1" w15:restartNumberingAfterBreak="0">
    <w:nsid w:val="2ADA2338"/>
    <w:multiLevelType w:val="hybridMultilevel"/>
    <w:tmpl w:val="16EE2B12"/>
    <w:lvl w:ilvl="0" w:tplc="8F3A3726">
      <w:start w:val="16"/>
      <w:numFmt w:val="bullet"/>
      <w:lvlText w:val="-"/>
      <w:lvlJc w:val="left"/>
      <w:pPr>
        <w:ind w:left="720" w:hanging="360"/>
      </w:pPr>
      <w:rPr>
        <w:rFonts w:ascii="Calibri" w:eastAsia="Calibri"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15D1041"/>
    <w:multiLevelType w:val="hybridMultilevel"/>
    <w:tmpl w:val="B09A876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7F14A97"/>
    <w:multiLevelType w:val="hybridMultilevel"/>
    <w:tmpl w:val="A9084834"/>
    <w:lvl w:ilvl="0" w:tplc="945AC76C">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9A1222E"/>
    <w:multiLevelType w:val="hybridMultilevel"/>
    <w:tmpl w:val="84B48506"/>
    <w:lvl w:ilvl="0" w:tplc="BAA27C0E">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CC106D6"/>
    <w:multiLevelType w:val="hybridMultilevel"/>
    <w:tmpl w:val="DAB4D2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D6D3848"/>
    <w:multiLevelType w:val="hybridMultilevel"/>
    <w:tmpl w:val="E50C7D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645"/>
    <w:rsid w:val="000E0AF9"/>
    <w:rsid w:val="00592645"/>
    <w:rsid w:val="00816F97"/>
    <w:rsid w:val="00A93326"/>
    <w:rsid w:val="00F444FD"/>
    <w:rsid w:val="00F960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0226F1-EA6A-4F32-BCF0-154CC2F87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92645"/>
    <w:pPr>
      <w:spacing w:after="200" w:line="276" w:lineRule="auto"/>
    </w:pPr>
    <w:rPr>
      <w:rFonts w:ascii="Calibri" w:eastAsia="Calibri" w:hAnsi="Calibri" w:cs="Times New Roman"/>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
    <w:basedOn w:val="Normln"/>
    <w:next w:val="Normln"/>
    <w:link w:val="Nadpis1Char"/>
    <w:uiPriority w:val="9"/>
    <w:qFormat/>
    <w:rsid w:val="00592645"/>
    <w:pPr>
      <w:keepNext/>
      <w:keepLines/>
      <w:pageBreakBefore/>
      <w:numPr>
        <w:numId w:val="2"/>
      </w:numPr>
      <w:spacing w:after="360" w:line="240" w:lineRule="auto"/>
      <w:jc w:val="both"/>
      <w:outlineLvl w:val="0"/>
    </w:pPr>
    <w:rPr>
      <w:rFonts w:ascii="Arial" w:eastAsia="Times New Roman" w:hAnsi="Arial"/>
      <w:b/>
      <w:bCs/>
      <w:color w:val="084A8B"/>
      <w:sz w:val="28"/>
      <w:szCs w:val="28"/>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
    <w:basedOn w:val="Normln"/>
    <w:next w:val="Normln"/>
    <w:link w:val="Nadpis2Char"/>
    <w:uiPriority w:val="9"/>
    <w:unhideWhenUsed/>
    <w:qFormat/>
    <w:rsid w:val="00592645"/>
    <w:pPr>
      <w:keepNext/>
      <w:keepLines/>
      <w:numPr>
        <w:ilvl w:val="1"/>
        <w:numId w:val="2"/>
      </w:numPr>
      <w:tabs>
        <w:tab w:val="clear" w:pos="4396"/>
        <w:tab w:val="num" w:pos="851"/>
      </w:tabs>
      <w:spacing w:before="320" w:after="110" w:line="240" w:lineRule="auto"/>
      <w:ind w:left="851"/>
      <w:jc w:val="both"/>
      <w:outlineLvl w:val="1"/>
    </w:pPr>
    <w:rPr>
      <w:rFonts w:ascii="Arial" w:eastAsia="Times New Roman" w:hAnsi="Arial"/>
      <w:b/>
      <w:bCs/>
      <w:color w:val="084A8B"/>
      <w:sz w:val="24"/>
      <w:szCs w:val="26"/>
    </w:rPr>
  </w:style>
  <w:style w:type="paragraph" w:styleId="Nadpis3">
    <w:name w:val="heading 3"/>
    <w:aliases w:val="adpis 3,Podpodkapitola,Heading 3 Char2,Heading 3 Char Char1,adpis 3 Char Char1,Podpodkapitola Char Char Char,Heading 3 Char Char Char,adpis 3 Char Char Char,Heading 3 Char1 Char,Podpodkapitola Char Char1,Heading 3 Char1,Heading 3 Char Char"/>
    <w:basedOn w:val="Normln"/>
    <w:next w:val="Normln"/>
    <w:link w:val="Nadpis3Char"/>
    <w:uiPriority w:val="9"/>
    <w:unhideWhenUsed/>
    <w:qFormat/>
    <w:rsid w:val="00592645"/>
    <w:pPr>
      <w:keepNext/>
      <w:keepLines/>
      <w:numPr>
        <w:ilvl w:val="2"/>
        <w:numId w:val="2"/>
      </w:numPr>
      <w:spacing w:before="280" w:after="110" w:line="240" w:lineRule="auto"/>
      <w:jc w:val="both"/>
      <w:outlineLvl w:val="2"/>
    </w:pPr>
    <w:rPr>
      <w:rFonts w:ascii="Arial" w:eastAsia="Times New Roman" w:hAnsi="Arial"/>
      <w:b/>
      <w:bCs/>
      <w:color w:val="084A8B"/>
      <w:sz w:val="28"/>
    </w:rPr>
  </w:style>
  <w:style w:type="paragraph" w:styleId="Nadpis4">
    <w:name w:val="heading 4"/>
    <w:aliases w:val="Odstavec 1,Odstavec 11,Odstavec 12,Odstavec 13,Odstavec 14,Odstavec 111,Odstavec 121,Odstavec 131,Odstavec 15,Odstavec 141,Odstavec 16,Odstavec 112,Odstavec 122,Odstavec 132,Odstavec 142,Odstavec 17,Odstavec 18,Odstavec 113,Odstavec 123,V_Head"/>
    <w:basedOn w:val="Normln"/>
    <w:next w:val="Normln"/>
    <w:link w:val="Nadpis4Char"/>
    <w:uiPriority w:val="9"/>
    <w:qFormat/>
    <w:rsid w:val="00592645"/>
    <w:pPr>
      <w:keepNext/>
      <w:keepLines/>
      <w:numPr>
        <w:ilvl w:val="3"/>
        <w:numId w:val="2"/>
      </w:numPr>
      <w:spacing w:before="260" w:after="110" w:line="240" w:lineRule="auto"/>
      <w:jc w:val="both"/>
      <w:outlineLvl w:val="3"/>
    </w:pPr>
    <w:rPr>
      <w:rFonts w:ascii="Arial" w:eastAsia="Times New Roman" w:hAnsi="Arial"/>
      <w:b/>
      <w:bCs/>
      <w:iCs/>
      <w:color w:val="084A8B"/>
      <w:sz w:val="26"/>
    </w:rPr>
  </w:style>
  <w:style w:type="paragraph" w:styleId="Nadpis5">
    <w:name w:val="heading 5"/>
    <w:basedOn w:val="Normln"/>
    <w:next w:val="Normln"/>
    <w:link w:val="Nadpis5Char"/>
    <w:uiPriority w:val="9"/>
    <w:qFormat/>
    <w:rsid w:val="00592645"/>
    <w:pPr>
      <w:keepNext/>
      <w:keepLines/>
      <w:numPr>
        <w:ilvl w:val="4"/>
        <w:numId w:val="2"/>
      </w:numPr>
      <w:spacing w:before="240" w:after="110" w:line="240" w:lineRule="auto"/>
      <w:jc w:val="both"/>
      <w:outlineLvl w:val="4"/>
    </w:pPr>
    <w:rPr>
      <w:rFonts w:ascii="Arial" w:eastAsia="Times New Roman" w:hAnsi="Arial"/>
      <w:b/>
      <w:color w:val="084A8B"/>
      <w:sz w:val="24"/>
    </w:rPr>
  </w:style>
  <w:style w:type="paragraph" w:styleId="Nadpis6">
    <w:name w:val="heading 6"/>
    <w:basedOn w:val="Normln"/>
    <w:next w:val="Normln"/>
    <w:link w:val="Nadpis6Char"/>
    <w:uiPriority w:val="9"/>
    <w:qFormat/>
    <w:rsid w:val="00592645"/>
    <w:pPr>
      <w:keepNext/>
      <w:keepLines/>
      <w:numPr>
        <w:ilvl w:val="5"/>
        <w:numId w:val="2"/>
      </w:numPr>
      <w:spacing w:before="220" w:after="110" w:line="240" w:lineRule="auto"/>
      <w:jc w:val="both"/>
      <w:outlineLvl w:val="5"/>
    </w:pPr>
    <w:rPr>
      <w:rFonts w:ascii="Arial" w:eastAsia="Times New Roman" w:hAnsi="Arial"/>
      <w:b/>
      <w:iCs/>
      <w:color w:val="084A8B"/>
    </w:rPr>
  </w:style>
  <w:style w:type="paragraph" w:styleId="Nadpis7">
    <w:name w:val="heading 7"/>
    <w:basedOn w:val="Normln"/>
    <w:next w:val="Normln"/>
    <w:link w:val="Nadpis7Char"/>
    <w:uiPriority w:val="9"/>
    <w:unhideWhenUsed/>
    <w:qFormat/>
    <w:rsid w:val="00592645"/>
    <w:pPr>
      <w:keepNext/>
      <w:keepLines/>
      <w:numPr>
        <w:ilvl w:val="6"/>
        <w:numId w:val="2"/>
      </w:numPr>
      <w:spacing w:before="200" w:after="0" w:line="240" w:lineRule="auto"/>
      <w:jc w:val="both"/>
      <w:outlineLvl w:val="6"/>
    </w:pPr>
    <w:rPr>
      <w:rFonts w:ascii="Arial" w:eastAsia="Times New Roman" w:hAnsi="Arial"/>
      <w:i/>
      <w:iCs/>
      <w:color w:val="0D77E1"/>
    </w:rPr>
  </w:style>
  <w:style w:type="paragraph" w:styleId="Nadpis8">
    <w:name w:val="heading 8"/>
    <w:basedOn w:val="Normln"/>
    <w:next w:val="Normln"/>
    <w:link w:val="Nadpis8Char"/>
    <w:uiPriority w:val="9"/>
    <w:unhideWhenUsed/>
    <w:qFormat/>
    <w:rsid w:val="00592645"/>
    <w:pPr>
      <w:keepNext/>
      <w:keepLines/>
      <w:numPr>
        <w:ilvl w:val="7"/>
        <w:numId w:val="2"/>
      </w:numPr>
      <w:spacing w:before="200" w:after="0" w:line="240" w:lineRule="auto"/>
      <w:jc w:val="both"/>
      <w:outlineLvl w:val="7"/>
    </w:pPr>
    <w:rPr>
      <w:rFonts w:ascii="Arial" w:eastAsia="Times New Roman" w:hAnsi="Arial"/>
      <w:color w:val="0D77E1"/>
      <w:sz w:val="20"/>
      <w:szCs w:val="20"/>
    </w:rPr>
  </w:style>
  <w:style w:type="paragraph" w:styleId="Nadpis9">
    <w:name w:val="heading 9"/>
    <w:aliases w:val="Nadpis 91,Numbered - 9,Nadpis 911,Numbered - 91,Nadpis 912,Numbered - 92,Nadpis 913,Numbered - 93,Nadpis 914,Numbered - 94,Nadpis 915,Numbered - 95,Nadpis 916,Numbered - 96,Nadpis 917,Numbered - 97,Nadpis 918,Numbered - 98,Nadpis 919"/>
    <w:basedOn w:val="Normln"/>
    <w:next w:val="Normln"/>
    <w:link w:val="Nadpis9Char"/>
    <w:uiPriority w:val="9"/>
    <w:unhideWhenUsed/>
    <w:qFormat/>
    <w:rsid w:val="00592645"/>
    <w:pPr>
      <w:keepNext/>
      <w:keepLines/>
      <w:numPr>
        <w:ilvl w:val="8"/>
        <w:numId w:val="2"/>
      </w:numPr>
      <w:spacing w:before="200" w:after="0" w:line="240" w:lineRule="auto"/>
      <w:jc w:val="both"/>
      <w:outlineLvl w:val="8"/>
    </w:pPr>
    <w:rPr>
      <w:rFonts w:ascii="Arial" w:eastAsia="Times New Roman" w:hAnsi="Arial"/>
      <w:i/>
      <w:iCs/>
      <w:color w:val="0D77E1"/>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uiPriority w:val="9"/>
    <w:rsid w:val="00592645"/>
    <w:rPr>
      <w:rFonts w:ascii="Arial" w:eastAsia="Times New Roman" w:hAnsi="Arial" w:cs="Times New Roman"/>
      <w:b/>
      <w:bCs/>
      <w:color w:val="084A8B"/>
      <w:sz w:val="28"/>
      <w:szCs w:val="28"/>
    </w:r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
    <w:basedOn w:val="Standardnpsmoodstavce"/>
    <w:link w:val="Nadpis2"/>
    <w:uiPriority w:val="9"/>
    <w:rsid w:val="00592645"/>
    <w:rPr>
      <w:rFonts w:ascii="Arial" w:eastAsia="Times New Roman" w:hAnsi="Arial" w:cs="Times New Roman"/>
      <w:b/>
      <w:bCs/>
      <w:color w:val="084A8B"/>
      <w:sz w:val="24"/>
      <w:szCs w:val="26"/>
    </w:rPr>
  </w:style>
  <w:style w:type="character" w:customStyle="1" w:styleId="Nadpis3Char">
    <w:name w:val="Nadpis 3 Char"/>
    <w:aliases w:val="adpis 3 Char,Podpodkapitola Char,Heading 3 Char2 Char,Heading 3 Char Char1 Char,adpis 3 Char Char1 Char,Podpodkapitola Char Char Char Char,Heading 3 Char Char Char Char,adpis 3 Char Char Char Char,Heading 3 Char1 Char Char"/>
    <w:basedOn w:val="Standardnpsmoodstavce"/>
    <w:link w:val="Nadpis3"/>
    <w:uiPriority w:val="9"/>
    <w:rsid w:val="00592645"/>
    <w:rPr>
      <w:rFonts w:ascii="Arial" w:eastAsia="Times New Roman" w:hAnsi="Arial" w:cs="Times New Roman"/>
      <w:b/>
      <w:bCs/>
      <w:color w:val="084A8B"/>
      <w:sz w:val="28"/>
    </w:rPr>
  </w:style>
  <w:style w:type="character" w:customStyle="1" w:styleId="Nadpis4Char">
    <w:name w:val="Nadpis 4 Char"/>
    <w:aliases w:val="Odstavec 1 Char,Odstavec 11 Char,Odstavec 12 Char,Odstavec 13 Char,Odstavec 14 Char,Odstavec 111 Char,Odstavec 121 Char,Odstavec 131 Char,Odstavec 15 Char,Odstavec 141 Char,Odstavec 16 Char,Odstavec 112 Char,Odstavec 122 Char,V_Head Char"/>
    <w:basedOn w:val="Standardnpsmoodstavce"/>
    <w:link w:val="Nadpis4"/>
    <w:uiPriority w:val="9"/>
    <w:rsid w:val="00592645"/>
    <w:rPr>
      <w:rFonts w:ascii="Arial" w:eastAsia="Times New Roman" w:hAnsi="Arial" w:cs="Times New Roman"/>
      <w:b/>
      <w:bCs/>
      <w:iCs/>
      <w:color w:val="084A8B"/>
      <w:sz w:val="26"/>
    </w:rPr>
  </w:style>
  <w:style w:type="character" w:customStyle="1" w:styleId="Nadpis5Char">
    <w:name w:val="Nadpis 5 Char"/>
    <w:basedOn w:val="Standardnpsmoodstavce"/>
    <w:link w:val="Nadpis5"/>
    <w:uiPriority w:val="9"/>
    <w:rsid w:val="00592645"/>
    <w:rPr>
      <w:rFonts w:ascii="Arial" w:eastAsia="Times New Roman" w:hAnsi="Arial" w:cs="Times New Roman"/>
      <w:b/>
      <w:color w:val="084A8B"/>
      <w:sz w:val="24"/>
    </w:rPr>
  </w:style>
  <w:style w:type="character" w:customStyle="1" w:styleId="Nadpis6Char">
    <w:name w:val="Nadpis 6 Char"/>
    <w:basedOn w:val="Standardnpsmoodstavce"/>
    <w:link w:val="Nadpis6"/>
    <w:uiPriority w:val="9"/>
    <w:rsid w:val="00592645"/>
    <w:rPr>
      <w:rFonts w:ascii="Arial" w:eastAsia="Times New Roman" w:hAnsi="Arial" w:cs="Times New Roman"/>
      <w:b/>
      <w:iCs/>
      <w:color w:val="084A8B"/>
    </w:rPr>
  </w:style>
  <w:style w:type="character" w:customStyle="1" w:styleId="Nadpis7Char">
    <w:name w:val="Nadpis 7 Char"/>
    <w:basedOn w:val="Standardnpsmoodstavce"/>
    <w:link w:val="Nadpis7"/>
    <w:uiPriority w:val="9"/>
    <w:rsid w:val="00592645"/>
    <w:rPr>
      <w:rFonts w:ascii="Arial" w:eastAsia="Times New Roman" w:hAnsi="Arial" w:cs="Times New Roman"/>
      <w:i/>
      <w:iCs/>
      <w:color w:val="0D77E1"/>
    </w:rPr>
  </w:style>
  <w:style w:type="character" w:customStyle="1" w:styleId="Nadpis8Char">
    <w:name w:val="Nadpis 8 Char"/>
    <w:basedOn w:val="Standardnpsmoodstavce"/>
    <w:link w:val="Nadpis8"/>
    <w:uiPriority w:val="9"/>
    <w:rsid w:val="00592645"/>
    <w:rPr>
      <w:rFonts w:ascii="Arial" w:eastAsia="Times New Roman" w:hAnsi="Arial" w:cs="Times New Roman"/>
      <w:color w:val="0D77E1"/>
      <w:sz w:val="20"/>
      <w:szCs w:val="20"/>
    </w:rPr>
  </w:style>
  <w:style w:type="character" w:customStyle="1" w:styleId="Nadpis9Char">
    <w:name w:val="Nadpis 9 Char"/>
    <w:aliases w:val="Nadpis 91 Char,Numbered - 9 Char,Nadpis 911 Char,Numbered - 91 Char,Nadpis 912 Char,Numbered - 92 Char,Nadpis 913 Char,Numbered - 93 Char,Nadpis 914 Char,Numbered - 94 Char,Nadpis 915 Char,Numbered - 95 Char,Nadpis 916 Char,Nadpis 917 Char"/>
    <w:basedOn w:val="Standardnpsmoodstavce"/>
    <w:link w:val="Nadpis9"/>
    <w:uiPriority w:val="9"/>
    <w:rsid w:val="00592645"/>
    <w:rPr>
      <w:rFonts w:ascii="Arial" w:eastAsia="Times New Roman" w:hAnsi="Arial" w:cs="Times New Roman"/>
      <w:i/>
      <w:iCs/>
      <w:color w:val="0D77E1"/>
      <w:sz w:val="20"/>
      <w:szCs w:val="20"/>
    </w:rPr>
  </w:style>
  <w:style w:type="paragraph" w:styleId="Odstavecseseznamem">
    <w:name w:val="List Paragraph"/>
    <w:aliases w:val="Odstavec_muj,Nad,List Paragraph,Odstavec cíl se seznamem,Odstavec se seznamem5"/>
    <w:basedOn w:val="Normln"/>
    <w:link w:val="OdstavecseseznamemChar"/>
    <w:uiPriority w:val="34"/>
    <w:qFormat/>
    <w:rsid w:val="00592645"/>
    <w:pPr>
      <w:spacing w:after="0" w:line="240" w:lineRule="auto"/>
      <w:ind w:left="720"/>
      <w:contextualSpacing/>
      <w:jc w:val="both"/>
    </w:pPr>
  </w:style>
  <w:style w:type="character" w:customStyle="1" w:styleId="OdstavecseseznamemChar">
    <w:name w:val="Odstavec se seznamem Char"/>
    <w:aliases w:val="Odstavec_muj Char,Nad Char,List Paragraph Char,Odstavec cíl se seznamem Char,Odstavec se seznamem5 Char"/>
    <w:link w:val="Odstavecseseznamem"/>
    <w:uiPriority w:val="34"/>
    <w:rsid w:val="00592645"/>
    <w:rPr>
      <w:rFonts w:ascii="Calibri" w:eastAsia="Calibri" w:hAnsi="Calibri" w:cs="Times New Roman"/>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592645"/>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592645"/>
    <w:rPr>
      <w:rFonts w:ascii="Calibri" w:eastAsia="Calibri" w:hAnsi="Calibri" w:cs="Times New Roman"/>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uiPriority w:val="99"/>
    <w:unhideWhenUsed/>
    <w:rsid w:val="00592645"/>
    <w:rPr>
      <w:vertAlign w:val="superscript"/>
    </w:rPr>
  </w:style>
  <w:style w:type="character" w:styleId="Odkaznakoment">
    <w:name w:val="annotation reference"/>
    <w:uiPriority w:val="99"/>
    <w:unhideWhenUsed/>
    <w:rsid w:val="00592645"/>
    <w:rPr>
      <w:sz w:val="16"/>
      <w:szCs w:val="16"/>
    </w:rPr>
  </w:style>
  <w:style w:type="paragraph" w:customStyle="1" w:styleId="normln4">
    <w:name w:val="normální4"/>
    <w:basedOn w:val="Normln"/>
    <w:rsid w:val="00592645"/>
    <w:pPr>
      <w:spacing w:after="0" w:line="240" w:lineRule="auto"/>
      <w:jc w:val="both"/>
    </w:pPr>
    <w:rPr>
      <w:rFonts w:ascii="Arial" w:eastAsia="Times New Roman" w:hAnsi="Arial"/>
      <w:sz w:val="24"/>
      <w:szCs w:val="20"/>
      <w:lang w:eastAsia="cs-CZ"/>
    </w:rPr>
  </w:style>
  <w:style w:type="paragraph" w:styleId="Zhlav">
    <w:name w:val="header"/>
    <w:basedOn w:val="Normln"/>
    <w:link w:val="ZhlavChar"/>
    <w:uiPriority w:val="99"/>
    <w:unhideWhenUsed/>
    <w:rsid w:val="0059264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92645"/>
    <w:rPr>
      <w:rFonts w:ascii="Calibri" w:eastAsia="Calibri" w:hAnsi="Calibri" w:cs="Times New Roman"/>
    </w:rPr>
  </w:style>
  <w:style w:type="paragraph" w:styleId="Zpat">
    <w:name w:val="footer"/>
    <w:basedOn w:val="Normln"/>
    <w:link w:val="ZpatChar"/>
    <w:uiPriority w:val="99"/>
    <w:unhideWhenUsed/>
    <w:rsid w:val="00592645"/>
    <w:pPr>
      <w:tabs>
        <w:tab w:val="center" w:pos="4536"/>
        <w:tab w:val="right" w:pos="9072"/>
      </w:tabs>
      <w:spacing w:after="0" w:line="240" w:lineRule="auto"/>
    </w:pPr>
  </w:style>
  <w:style w:type="character" w:customStyle="1" w:styleId="ZpatChar">
    <w:name w:val="Zápatí Char"/>
    <w:basedOn w:val="Standardnpsmoodstavce"/>
    <w:link w:val="Zpat"/>
    <w:uiPriority w:val="99"/>
    <w:rsid w:val="0059264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83C3EA-3465-4B34-8977-47307A4B2E07}" type="doc">
      <dgm:prSet loTypeId="urn:microsoft.com/office/officeart/2005/8/layout/process1" loCatId="process" qsTypeId="urn:microsoft.com/office/officeart/2005/8/quickstyle/simple1" qsCatId="simple" csTypeId="urn:microsoft.com/office/officeart/2005/8/colors/accent1_2" csCatId="accent1" phldr="1"/>
      <dgm:spPr/>
    </dgm:pt>
    <dgm:pt modelId="{AC5E0FD8-70FD-4EC4-81E2-B42424C4799A}">
      <dgm:prSet phldrT="[Text]"/>
      <dgm:spPr/>
      <dgm:t>
        <a:bodyPr/>
        <a:lstStyle/>
        <a:p>
          <a:r>
            <a:rPr lang="cs-CZ" b="1"/>
            <a:t>Aktivizační opatření </a:t>
          </a:r>
          <a:r>
            <a:rPr lang="cs-CZ"/>
            <a:t>(pracovní poradenství, příprava k práci, pracovní místa na zkoušku apod.)</a:t>
          </a:r>
        </a:p>
      </dgm:t>
    </dgm:pt>
    <dgm:pt modelId="{B433B312-2169-48CD-BA4D-951A3BC60564}" type="parTrans" cxnId="{97351B85-7F9E-4C48-8985-7C58C2AC5550}">
      <dgm:prSet/>
      <dgm:spPr/>
      <dgm:t>
        <a:bodyPr/>
        <a:lstStyle/>
        <a:p>
          <a:endParaRPr lang="cs-CZ"/>
        </a:p>
      </dgm:t>
    </dgm:pt>
    <dgm:pt modelId="{4846DE22-AFD1-4AF6-86D1-B3B82D4B1754}" type="sibTrans" cxnId="{97351B85-7F9E-4C48-8985-7C58C2AC5550}">
      <dgm:prSet/>
      <dgm:spPr/>
      <dgm:t>
        <a:bodyPr/>
        <a:lstStyle/>
        <a:p>
          <a:endParaRPr lang="cs-CZ"/>
        </a:p>
      </dgm:t>
    </dgm:pt>
    <dgm:pt modelId="{093355B2-DF92-43CE-A123-8D79375A9A10}">
      <dgm:prSet phldrT="[Text]"/>
      <dgm:spPr/>
      <dgm:t>
        <a:bodyPr/>
        <a:lstStyle/>
        <a:p>
          <a:r>
            <a:rPr lang="cs-CZ" b="1"/>
            <a:t>Podporované zaměstnávání </a:t>
          </a:r>
          <a:r>
            <a:rPr lang="cs-CZ"/>
            <a:t>(dotovaná pracovní místa, tranzitní pracovní místo v sociálním podniku apod.)</a:t>
          </a:r>
        </a:p>
      </dgm:t>
    </dgm:pt>
    <dgm:pt modelId="{5E613411-9B0B-4D6C-B064-ACA84FBA6E85}" type="parTrans" cxnId="{E65C7B86-EF72-40CB-8BF6-C8A5A4D82E46}">
      <dgm:prSet/>
      <dgm:spPr/>
      <dgm:t>
        <a:bodyPr/>
        <a:lstStyle/>
        <a:p>
          <a:endParaRPr lang="cs-CZ"/>
        </a:p>
      </dgm:t>
    </dgm:pt>
    <dgm:pt modelId="{075189AC-3A48-4706-9552-2FE0868B3825}" type="sibTrans" cxnId="{E65C7B86-EF72-40CB-8BF6-C8A5A4D82E46}">
      <dgm:prSet/>
      <dgm:spPr/>
      <dgm:t>
        <a:bodyPr/>
        <a:lstStyle/>
        <a:p>
          <a:endParaRPr lang="cs-CZ"/>
        </a:p>
      </dgm:t>
    </dgm:pt>
    <dgm:pt modelId="{43E385F3-5A54-477B-9742-9F9CA04081FE}">
      <dgm:prSet phldrT="[Text]"/>
      <dgm:spPr/>
      <dgm:t>
        <a:bodyPr/>
        <a:lstStyle/>
        <a:p>
          <a:r>
            <a:rPr lang="cs-CZ" b="1"/>
            <a:t>Podpora udržitelnosti pracovních míst na volném trhu práce </a:t>
          </a:r>
          <a:r>
            <a:rPr lang="cs-CZ"/>
            <a:t>(pracovní asistence, mentoring apod.)</a:t>
          </a:r>
        </a:p>
      </dgm:t>
    </dgm:pt>
    <dgm:pt modelId="{90249FDD-1731-4056-A4D8-E35B027FC07A}" type="parTrans" cxnId="{C68BC62D-6259-4BFB-A8C1-EFD532E6DC8F}">
      <dgm:prSet/>
      <dgm:spPr/>
      <dgm:t>
        <a:bodyPr/>
        <a:lstStyle/>
        <a:p>
          <a:endParaRPr lang="cs-CZ"/>
        </a:p>
      </dgm:t>
    </dgm:pt>
    <dgm:pt modelId="{27AD0F50-A97E-4F5F-B7D6-5761C477BA94}" type="sibTrans" cxnId="{C68BC62D-6259-4BFB-A8C1-EFD532E6DC8F}">
      <dgm:prSet/>
      <dgm:spPr/>
      <dgm:t>
        <a:bodyPr/>
        <a:lstStyle/>
        <a:p>
          <a:endParaRPr lang="cs-CZ"/>
        </a:p>
      </dgm:t>
    </dgm:pt>
    <dgm:pt modelId="{8CE0B2EC-7485-4C77-B5A8-B8F241CEAFF1}" type="pres">
      <dgm:prSet presAssocID="{D283C3EA-3465-4B34-8977-47307A4B2E07}" presName="Name0" presStyleCnt="0">
        <dgm:presLayoutVars>
          <dgm:dir/>
          <dgm:resizeHandles val="exact"/>
        </dgm:presLayoutVars>
      </dgm:prSet>
      <dgm:spPr/>
    </dgm:pt>
    <dgm:pt modelId="{E0E64AAA-81AC-4B0C-865B-B33C381D3808}" type="pres">
      <dgm:prSet presAssocID="{AC5E0FD8-70FD-4EC4-81E2-B42424C4799A}" presName="node" presStyleLbl="node1" presStyleIdx="0" presStyleCnt="3">
        <dgm:presLayoutVars>
          <dgm:bulletEnabled val="1"/>
        </dgm:presLayoutVars>
      </dgm:prSet>
      <dgm:spPr/>
      <dgm:t>
        <a:bodyPr/>
        <a:lstStyle/>
        <a:p>
          <a:endParaRPr lang="cs-CZ"/>
        </a:p>
      </dgm:t>
    </dgm:pt>
    <dgm:pt modelId="{2FEE110A-9E9D-47AA-A82F-6F7858F84CE1}" type="pres">
      <dgm:prSet presAssocID="{4846DE22-AFD1-4AF6-86D1-B3B82D4B1754}" presName="sibTrans" presStyleLbl="sibTrans2D1" presStyleIdx="0" presStyleCnt="2"/>
      <dgm:spPr/>
      <dgm:t>
        <a:bodyPr/>
        <a:lstStyle/>
        <a:p>
          <a:endParaRPr lang="cs-CZ"/>
        </a:p>
      </dgm:t>
    </dgm:pt>
    <dgm:pt modelId="{DE92E6DD-CA7D-4BD8-9EEE-489F52CFE058}" type="pres">
      <dgm:prSet presAssocID="{4846DE22-AFD1-4AF6-86D1-B3B82D4B1754}" presName="connectorText" presStyleLbl="sibTrans2D1" presStyleIdx="0" presStyleCnt="2"/>
      <dgm:spPr/>
      <dgm:t>
        <a:bodyPr/>
        <a:lstStyle/>
        <a:p>
          <a:endParaRPr lang="cs-CZ"/>
        </a:p>
      </dgm:t>
    </dgm:pt>
    <dgm:pt modelId="{6E8118F9-5B8F-44A9-B02B-BF2DD0CB459F}" type="pres">
      <dgm:prSet presAssocID="{093355B2-DF92-43CE-A123-8D79375A9A10}" presName="node" presStyleLbl="node1" presStyleIdx="1" presStyleCnt="3">
        <dgm:presLayoutVars>
          <dgm:bulletEnabled val="1"/>
        </dgm:presLayoutVars>
      </dgm:prSet>
      <dgm:spPr/>
      <dgm:t>
        <a:bodyPr/>
        <a:lstStyle/>
        <a:p>
          <a:endParaRPr lang="cs-CZ"/>
        </a:p>
      </dgm:t>
    </dgm:pt>
    <dgm:pt modelId="{8A5394FC-4004-45A5-A842-4BD6A7A7761B}" type="pres">
      <dgm:prSet presAssocID="{075189AC-3A48-4706-9552-2FE0868B3825}" presName="sibTrans" presStyleLbl="sibTrans2D1" presStyleIdx="1" presStyleCnt="2"/>
      <dgm:spPr/>
      <dgm:t>
        <a:bodyPr/>
        <a:lstStyle/>
        <a:p>
          <a:endParaRPr lang="cs-CZ"/>
        </a:p>
      </dgm:t>
    </dgm:pt>
    <dgm:pt modelId="{8F613526-067A-4CE0-81EF-DBE4371FA0A7}" type="pres">
      <dgm:prSet presAssocID="{075189AC-3A48-4706-9552-2FE0868B3825}" presName="connectorText" presStyleLbl="sibTrans2D1" presStyleIdx="1" presStyleCnt="2"/>
      <dgm:spPr/>
      <dgm:t>
        <a:bodyPr/>
        <a:lstStyle/>
        <a:p>
          <a:endParaRPr lang="cs-CZ"/>
        </a:p>
      </dgm:t>
    </dgm:pt>
    <dgm:pt modelId="{EF4AC736-75FD-49EF-A77C-42CDF855128E}" type="pres">
      <dgm:prSet presAssocID="{43E385F3-5A54-477B-9742-9F9CA04081FE}" presName="node" presStyleLbl="node1" presStyleIdx="2" presStyleCnt="3">
        <dgm:presLayoutVars>
          <dgm:bulletEnabled val="1"/>
        </dgm:presLayoutVars>
      </dgm:prSet>
      <dgm:spPr/>
      <dgm:t>
        <a:bodyPr/>
        <a:lstStyle/>
        <a:p>
          <a:endParaRPr lang="cs-CZ"/>
        </a:p>
      </dgm:t>
    </dgm:pt>
  </dgm:ptLst>
  <dgm:cxnLst>
    <dgm:cxn modelId="{36F0ED8F-B2E6-4034-9022-83B1C33D1127}" type="presOf" srcId="{4846DE22-AFD1-4AF6-86D1-B3B82D4B1754}" destId="{2FEE110A-9E9D-47AA-A82F-6F7858F84CE1}" srcOrd="0" destOrd="0" presId="urn:microsoft.com/office/officeart/2005/8/layout/process1"/>
    <dgm:cxn modelId="{AF9BB24C-77E9-486C-996F-3C01D852A8ED}" type="presOf" srcId="{D283C3EA-3465-4B34-8977-47307A4B2E07}" destId="{8CE0B2EC-7485-4C77-B5A8-B8F241CEAFF1}" srcOrd="0" destOrd="0" presId="urn:microsoft.com/office/officeart/2005/8/layout/process1"/>
    <dgm:cxn modelId="{6AD8E95B-7F2B-4529-A550-E5FEA70F5A15}" type="presOf" srcId="{43E385F3-5A54-477B-9742-9F9CA04081FE}" destId="{EF4AC736-75FD-49EF-A77C-42CDF855128E}" srcOrd="0" destOrd="0" presId="urn:microsoft.com/office/officeart/2005/8/layout/process1"/>
    <dgm:cxn modelId="{E65C7B86-EF72-40CB-8BF6-C8A5A4D82E46}" srcId="{D283C3EA-3465-4B34-8977-47307A4B2E07}" destId="{093355B2-DF92-43CE-A123-8D79375A9A10}" srcOrd="1" destOrd="0" parTransId="{5E613411-9B0B-4D6C-B064-ACA84FBA6E85}" sibTransId="{075189AC-3A48-4706-9552-2FE0868B3825}"/>
    <dgm:cxn modelId="{33474FA4-3748-4524-8DF7-ED5058CDA4E4}" type="presOf" srcId="{075189AC-3A48-4706-9552-2FE0868B3825}" destId="{8A5394FC-4004-45A5-A842-4BD6A7A7761B}" srcOrd="0" destOrd="0" presId="urn:microsoft.com/office/officeart/2005/8/layout/process1"/>
    <dgm:cxn modelId="{F4D5AF8A-8EE0-4010-92D2-77C6CEA04FA0}" type="presOf" srcId="{AC5E0FD8-70FD-4EC4-81E2-B42424C4799A}" destId="{E0E64AAA-81AC-4B0C-865B-B33C381D3808}" srcOrd="0" destOrd="0" presId="urn:microsoft.com/office/officeart/2005/8/layout/process1"/>
    <dgm:cxn modelId="{DD8B3B84-7C5D-445D-8C4E-1EE837E6D9B3}" type="presOf" srcId="{093355B2-DF92-43CE-A123-8D79375A9A10}" destId="{6E8118F9-5B8F-44A9-B02B-BF2DD0CB459F}" srcOrd="0" destOrd="0" presId="urn:microsoft.com/office/officeart/2005/8/layout/process1"/>
    <dgm:cxn modelId="{97351B85-7F9E-4C48-8985-7C58C2AC5550}" srcId="{D283C3EA-3465-4B34-8977-47307A4B2E07}" destId="{AC5E0FD8-70FD-4EC4-81E2-B42424C4799A}" srcOrd="0" destOrd="0" parTransId="{B433B312-2169-48CD-BA4D-951A3BC60564}" sibTransId="{4846DE22-AFD1-4AF6-86D1-B3B82D4B1754}"/>
    <dgm:cxn modelId="{C68BC62D-6259-4BFB-A8C1-EFD532E6DC8F}" srcId="{D283C3EA-3465-4B34-8977-47307A4B2E07}" destId="{43E385F3-5A54-477B-9742-9F9CA04081FE}" srcOrd="2" destOrd="0" parTransId="{90249FDD-1731-4056-A4D8-E35B027FC07A}" sibTransId="{27AD0F50-A97E-4F5F-B7D6-5761C477BA94}"/>
    <dgm:cxn modelId="{8F9BEAAC-4048-4D23-99CF-FBF844434658}" type="presOf" srcId="{075189AC-3A48-4706-9552-2FE0868B3825}" destId="{8F613526-067A-4CE0-81EF-DBE4371FA0A7}" srcOrd="1" destOrd="0" presId="urn:microsoft.com/office/officeart/2005/8/layout/process1"/>
    <dgm:cxn modelId="{18CC658E-0703-4C86-BB61-A271824A8F50}" type="presOf" srcId="{4846DE22-AFD1-4AF6-86D1-B3B82D4B1754}" destId="{DE92E6DD-CA7D-4BD8-9EEE-489F52CFE058}" srcOrd="1" destOrd="0" presId="urn:microsoft.com/office/officeart/2005/8/layout/process1"/>
    <dgm:cxn modelId="{BD9FA6CE-9B03-46B6-80D1-B029FCC201AD}" type="presParOf" srcId="{8CE0B2EC-7485-4C77-B5A8-B8F241CEAFF1}" destId="{E0E64AAA-81AC-4B0C-865B-B33C381D3808}" srcOrd="0" destOrd="0" presId="urn:microsoft.com/office/officeart/2005/8/layout/process1"/>
    <dgm:cxn modelId="{099E549B-BCD3-4D56-A786-D7A51D77AE88}" type="presParOf" srcId="{8CE0B2EC-7485-4C77-B5A8-B8F241CEAFF1}" destId="{2FEE110A-9E9D-47AA-A82F-6F7858F84CE1}" srcOrd="1" destOrd="0" presId="urn:microsoft.com/office/officeart/2005/8/layout/process1"/>
    <dgm:cxn modelId="{E51ACF55-9D07-4C21-A635-B1EE1C873201}" type="presParOf" srcId="{2FEE110A-9E9D-47AA-A82F-6F7858F84CE1}" destId="{DE92E6DD-CA7D-4BD8-9EEE-489F52CFE058}" srcOrd="0" destOrd="0" presId="urn:microsoft.com/office/officeart/2005/8/layout/process1"/>
    <dgm:cxn modelId="{1B891F4F-114F-4E46-9F73-A3F72D40AB40}" type="presParOf" srcId="{8CE0B2EC-7485-4C77-B5A8-B8F241CEAFF1}" destId="{6E8118F9-5B8F-44A9-B02B-BF2DD0CB459F}" srcOrd="2" destOrd="0" presId="urn:microsoft.com/office/officeart/2005/8/layout/process1"/>
    <dgm:cxn modelId="{27BC0407-B61C-475D-83DE-BE83465406EC}" type="presParOf" srcId="{8CE0B2EC-7485-4C77-B5A8-B8F241CEAFF1}" destId="{8A5394FC-4004-45A5-A842-4BD6A7A7761B}" srcOrd="3" destOrd="0" presId="urn:microsoft.com/office/officeart/2005/8/layout/process1"/>
    <dgm:cxn modelId="{67BB0D25-94BB-4985-BC5C-3364647A41A3}" type="presParOf" srcId="{8A5394FC-4004-45A5-A842-4BD6A7A7761B}" destId="{8F613526-067A-4CE0-81EF-DBE4371FA0A7}" srcOrd="0" destOrd="0" presId="urn:microsoft.com/office/officeart/2005/8/layout/process1"/>
    <dgm:cxn modelId="{751367E1-CFD8-40F2-B8F4-B27A3FFF4845}" type="presParOf" srcId="{8CE0B2EC-7485-4C77-B5A8-B8F241CEAFF1}" destId="{EF4AC736-75FD-49EF-A77C-42CDF855128E}"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C0D23C-7900-454C-AF2A-496A156B1D64}" type="doc">
      <dgm:prSet loTypeId="urn:microsoft.com/office/officeart/2005/8/layout/process1" loCatId="process" qsTypeId="urn:microsoft.com/office/officeart/2005/8/quickstyle/simple1" qsCatId="simple" csTypeId="urn:microsoft.com/office/officeart/2005/8/colors/accent1_2" csCatId="accent1" phldr="1"/>
      <dgm:spPr/>
    </dgm:pt>
    <dgm:pt modelId="{3598132D-5F91-469D-96F8-834CF519066A}">
      <dgm:prSet phldrT="[Text]"/>
      <dgm:spPr>
        <a:solidFill>
          <a:schemeClr val="accent1">
            <a:lumMod val="40000"/>
            <a:lumOff val="60000"/>
          </a:schemeClr>
        </a:solidFill>
      </dgm:spPr>
      <dgm:t>
        <a:bodyPr/>
        <a:lstStyle/>
        <a:p>
          <a:r>
            <a:rPr lang="cs-CZ" b="1">
              <a:solidFill>
                <a:schemeClr val="tx2">
                  <a:lumMod val="75000"/>
                </a:schemeClr>
              </a:solidFill>
            </a:rPr>
            <a:t>Zaměstnatelný klient</a:t>
          </a:r>
        </a:p>
      </dgm:t>
    </dgm:pt>
    <dgm:pt modelId="{DF66A90C-9173-4655-AAC9-A14FAFA2523C}" type="parTrans" cxnId="{DCB72B98-875D-45A5-9CF9-3DFD3580C7CB}">
      <dgm:prSet/>
      <dgm:spPr/>
      <dgm:t>
        <a:bodyPr/>
        <a:lstStyle/>
        <a:p>
          <a:endParaRPr lang="cs-CZ"/>
        </a:p>
      </dgm:t>
    </dgm:pt>
    <dgm:pt modelId="{2594C288-1A5D-42C8-B318-45E4B663209D}" type="sibTrans" cxnId="{DCB72B98-875D-45A5-9CF9-3DFD3580C7CB}">
      <dgm:prSet/>
      <dgm:spPr>
        <a:solidFill>
          <a:schemeClr val="tx2">
            <a:lumMod val="60000"/>
            <a:lumOff val="40000"/>
          </a:schemeClr>
        </a:solidFill>
      </dgm:spPr>
      <dgm:t>
        <a:bodyPr/>
        <a:lstStyle/>
        <a:p>
          <a:endParaRPr lang="cs-CZ"/>
        </a:p>
      </dgm:t>
    </dgm:pt>
    <dgm:pt modelId="{4134ACD4-EA90-43ED-B2B6-0C18269F5CFA}">
      <dgm:prSet phldrT="[Text]"/>
      <dgm:spPr>
        <a:solidFill>
          <a:schemeClr val="accent1">
            <a:lumMod val="40000"/>
            <a:lumOff val="60000"/>
          </a:schemeClr>
        </a:solidFill>
      </dgm:spPr>
      <dgm:t>
        <a:bodyPr/>
        <a:lstStyle/>
        <a:p>
          <a:r>
            <a:rPr lang="cs-CZ" b="1">
              <a:solidFill>
                <a:schemeClr val="tx2">
                  <a:lumMod val="75000"/>
                </a:schemeClr>
              </a:solidFill>
            </a:rPr>
            <a:t>Integrovaný klient</a:t>
          </a:r>
        </a:p>
      </dgm:t>
    </dgm:pt>
    <dgm:pt modelId="{01102A29-2530-4D4F-BE14-CF7D5533E879}" type="parTrans" cxnId="{6C7AA4ED-CAC5-48EC-BD5C-69AC979CC9D9}">
      <dgm:prSet/>
      <dgm:spPr/>
      <dgm:t>
        <a:bodyPr/>
        <a:lstStyle/>
        <a:p>
          <a:endParaRPr lang="cs-CZ"/>
        </a:p>
      </dgm:t>
    </dgm:pt>
    <dgm:pt modelId="{A378A49B-4B33-47C1-AEE1-4993CEC1567C}" type="sibTrans" cxnId="{6C7AA4ED-CAC5-48EC-BD5C-69AC979CC9D9}">
      <dgm:prSet/>
      <dgm:spPr/>
      <dgm:t>
        <a:bodyPr/>
        <a:lstStyle/>
        <a:p>
          <a:endParaRPr lang="cs-CZ"/>
        </a:p>
      </dgm:t>
    </dgm:pt>
    <dgm:pt modelId="{75996DDE-4534-42FE-8E2E-40349C173EEA}">
      <dgm:prSet phldrT="[Text]"/>
      <dgm:spPr>
        <a:solidFill>
          <a:schemeClr val="accent1">
            <a:lumMod val="40000"/>
            <a:lumOff val="60000"/>
          </a:schemeClr>
        </a:solidFill>
        <a:ln>
          <a:solidFill>
            <a:schemeClr val="tx2">
              <a:lumMod val="20000"/>
              <a:lumOff val="80000"/>
            </a:schemeClr>
          </a:solidFill>
        </a:ln>
      </dgm:spPr>
      <dgm:t>
        <a:bodyPr/>
        <a:lstStyle/>
        <a:p>
          <a:r>
            <a:rPr lang="cs-CZ" b="1">
              <a:solidFill>
                <a:schemeClr val="tx2">
                  <a:lumMod val="75000"/>
                </a:schemeClr>
              </a:solidFill>
            </a:rPr>
            <a:t>Motivovaný klient</a:t>
          </a:r>
        </a:p>
      </dgm:t>
    </dgm:pt>
    <dgm:pt modelId="{584F554E-7F64-4B87-9A3C-D1775DA7D482}" type="sibTrans" cxnId="{1C9F764B-4159-4B95-BA31-A871DA8B5540}">
      <dgm:prSet/>
      <dgm:spPr>
        <a:solidFill>
          <a:schemeClr val="tx2">
            <a:lumMod val="60000"/>
            <a:lumOff val="40000"/>
          </a:schemeClr>
        </a:solidFill>
      </dgm:spPr>
      <dgm:t>
        <a:bodyPr/>
        <a:lstStyle/>
        <a:p>
          <a:endParaRPr lang="cs-CZ"/>
        </a:p>
      </dgm:t>
    </dgm:pt>
    <dgm:pt modelId="{BF3C1E3B-9B36-427A-8D63-53C07E36F748}" type="parTrans" cxnId="{1C9F764B-4159-4B95-BA31-A871DA8B5540}">
      <dgm:prSet/>
      <dgm:spPr/>
      <dgm:t>
        <a:bodyPr/>
        <a:lstStyle/>
        <a:p>
          <a:endParaRPr lang="cs-CZ"/>
        </a:p>
      </dgm:t>
    </dgm:pt>
    <dgm:pt modelId="{38BEA281-9103-44AC-BB57-4E2FE9221526}" type="pres">
      <dgm:prSet presAssocID="{19C0D23C-7900-454C-AF2A-496A156B1D64}" presName="Name0" presStyleCnt="0">
        <dgm:presLayoutVars>
          <dgm:dir/>
          <dgm:resizeHandles val="exact"/>
        </dgm:presLayoutVars>
      </dgm:prSet>
      <dgm:spPr/>
    </dgm:pt>
    <dgm:pt modelId="{3303EDDA-E270-48DD-A416-E4603AAF948B}" type="pres">
      <dgm:prSet presAssocID="{75996DDE-4534-42FE-8E2E-40349C173EEA}" presName="node" presStyleLbl="node1" presStyleIdx="0" presStyleCnt="3" custLinFactY="100000" custLinFactNeighborX="-14407" custLinFactNeighborY="132885">
        <dgm:presLayoutVars>
          <dgm:bulletEnabled val="1"/>
        </dgm:presLayoutVars>
      </dgm:prSet>
      <dgm:spPr/>
      <dgm:t>
        <a:bodyPr/>
        <a:lstStyle/>
        <a:p>
          <a:endParaRPr lang="cs-CZ"/>
        </a:p>
      </dgm:t>
    </dgm:pt>
    <dgm:pt modelId="{0E302BE7-CEFD-478A-86FE-B1389555B78D}" type="pres">
      <dgm:prSet presAssocID="{584F554E-7F64-4B87-9A3C-D1775DA7D482}" presName="sibTrans" presStyleLbl="sibTrans2D1" presStyleIdx="0" presStyleCnt="2"/>
      <dgm:spPr/>
      <dgm:t>
        <a:bodyPr/>
        <a:lstStyle/>
        <a:p>
          <a:endParaRPr lang="cs-CZ"/>
        </a:p>
      </dgm:t>
    </dgm:pt>
    <dgm:pt modelId="{5F0B6F9D-8D1F-44F9-9285-8BFFB790463B}" type="pres">
      <dgm:prSet presAssocID="{584F554E-7F64-4B87-9A3C-D1775DA7D482}" presName="connectorText" presStyleLbl="sibTrans2D1" presStyleIdx="0" presStyleCnt="2"/>
      <dgm:spPr/>
      <dgm:t>
        <a:bodyPr/>
        <a:lstStyle/>
        <a:p>
          <a:endParaRPr lang="cs-CZ"/>
        </a:p>
      </dgm:t>
    </dgm:pt>
    <dgm:pt modelId="{D2B845AB-03EB-4B81-AB34-9B6DEA4C0F8F}" type="pres">
      <dgm:prSet presAssocID="{3598132D-5F91-469D-96F8-834CF519066A}" presName="node" presStyleLbl="node1" presStyleIdx="1" presStyleCnt="3">
        <dgm:presLayoutVars>
          <dgm:bulletEnabled val="1"/>
        </dgm:presLayoutVars>
      </dgm:prSet>
      <dgm:spPr/>
      <dgm:t>
        <a:bodyPr/>
        <a:lstStyle/>
        <a:p>
          <a:endParaRPr lang="cs-CZ"/>
        </a:p>
      </dgm:t>
    </dgm:pt>
    <dgm:pt modelId="{1014B938-FFC2-4B3A-A8EE-D7D07B8A8D0E}" type="pres">
      <dgm:prSet presAssocID="{2594C288-1A5D-42C8-B318-45E4B663209D}" presName="sibTrans" presStyleLbl="sibTrans2D1" presStyleIdx="1" presStyleCnt="2"/>
      <dgm:spPr/>
      <dgm:t>
        <a:bodyPr/>
        <a:lstStyle/>
        <a:p>
          <a:endParaRPr lang="cs-CZ"/>
        </a:p>
      </dgm:t>
    </dgm:pt>
    <dgm:pt modelId="{1583D525-AD68-4A74-9547-F535072BB531}" type="pres">
      <dgm:prSet presAssocID="{2594C288-1A5D-42C8-B318-45E4B663209D}" presName="connectorText" presStyleLbl="sibTrans2D1" presStyleIdx="1" presStyleCnt="2"/>
      <dgm:spPr/>
      <dgm:t>
        <a:bodyPr/>
        <a:lstStyle/>
        <a:p>
          <a:endParaRPr lang="cs-CZ"/>
        </a:p>
      </dgm:t>
    </dgm:pt>
    <dgm:pt modelId="{C361E5F6-AB6E-4ECC-8F76-879F12A58CFF}" type="pres">
      <dgm:prSet presAssocID="{4134ACD4-EA90-43ED-B2B6-0C18269F5CFA}" presName="node" presStyleLbl="node1" presStyleIdx="2" presStyleCnt="3">
        <dgm:presLayoutVars>
          <dgm:bulletEnabled val="1"/>
        </dgm:presLayoutVars>
      </dgm:prSet>
      <dgm:spPr/>
      <dgm:t>
        <a:bodyPr/>
        <a:lstStyle/>
        <a:p>
          <a:endParaRPr lang="cs-CZ"/>
        </a:p>
      </dgm:t>
    </dgm:pt>
  </dgm:ptLst>
  <dgm:cxnLst>
    <dgm:cxn modelId="{07B61C07-701F-4A08-9CEF-0AAD10F687C7}" type="presOf" srcId="{75996DDE-4534-42FE-8E2E-40349C173EEA}" destId="{3303EDDA-E270-48DD-A416-E4603AAF948B}" srcOrd="0" destOrd="0" presId="urn:microsoft.com/office/officeart/2005/8/layout/process1"/>
    <dgm:cxn modelId="{DCB72B98-875D-45A5-9CF9-3DFD3580C7CB}" srcId="{19C0D23C-7900-454C-AF2A-496A156B1D64}" destId="{3598132D-5F91-469D-96F8-834CF519066A}" srcOrd="1" destOrd="0" parTransId="{DF66A90C-9173-4655-AAC9-A14FAFA2523C}" sibTransId="{2594C288-1A5D-42C8-B318-45E4B663209D}"/>
    <dgm:cxn modelId="{CE652879-5988-4C96-AF7D-CB10D3A59C1D}" type="presOf" srcId="{2594C288-1A5D-42C8-B318-45E4B663209D}" destId="{1583D525-AD68-4A74-9547-F535072BB531}" srcOrd="1" destOrd="0" presId="urn:microsoft.com/office/officeart/2005/8/layout/process1"/>
    <dgm:cxn modelId="{3C049E55-E352-4B85-BDCB-279CF951D9CB}" type="presOf" srcId="{3598132D-5F91-469D-96F8-834CF519066A}" destId="{D2B845AB-03EB-4B81-AB34-9B6DEA4C0F8F}" srcOrd="0" destOrd="0" presId="urn:microsoft.com/office/officeart/2005/8/layout/process1"/>
    <dgm:cxn modelId="{6C7AA4ED-CAC5-48EC-BD5C-69AC979CC9D9}" srcId="{19C0D23C-7900-454C-AF2A-496A156B1D64}" destId="{4134ACD4-EA90-43ED-B2B6-0C18269F5CFA}" srcOrd="2" destOrd="0" parTransId="{01102A29-2530-4D4F-BE14-CF7D5533E879}" sibTransId="{A378A49B-4B33-47C1-AEE1-4993CEC1567C}"/>
    <dgm:cxn modelId="{1C9F764B-4159-4B95-BA31-A871DA8B5540}" srcId="{19C0D23C-7900-454C-AF2A-496A156B1D64}" destId="{75996DDE-4534-42FE-8E2E-40349C173EEA}" srcOrd="0" destOrd="0" parTransId="{BF3C1E3B-9B36-427A-8D63-53C07E36F748}" sibTransId="{584F554E-7F64-4B87-9A3C-D1775DA7D482}"/>
    <dgm:cxn modelId="{97F37DC0-9DDE-44A0-9B60-E3BC3025C7C9}" type="presOf" srcId="{19C0D23C-7900-454C-AF2A-496A156B1D64}" destId="{38BEA281-9103-44AC-BB57-4E2FE9221526}" srcOrd="0" destOrd="0" presId="urn:microsoft.com/office/officeart/2005/8/layout/process1"/>
    <dgm:cxn modelId="{17353A3F-BB8B-4262-97EC-5D1C69F07E3B}" type="presOf" srcId="{584F554E-7F64-4B87-9A3C-D1775DA7D482}" destId="{5F0B6F9D-8D1F-44F9-9285-8BFFB790463B}" srcOrd="1" destOrd="0" presId="urn:microsoft.com/office/officeart/2005/8/layout/process1"/>
    <dgm:cxn modelId="{F666FBF4-BFDB-4A45-A2C2-D5A9CBB6E8F3}" type="presOf" srcId="{584F554E-7F64-4B87-9A3C-D1775DA7D482}" destId="{0E302BE7-CEFD-478A-86FE-B1389555B78D}" srcOrd="0" destOrd="0" presId="urn:microsoft.com/office/officeart/2005/8/layout/process1"/>
    <dgm:cxn modelId="{C1F73553-5BC3-488E-9BCA-207C11520E98}" type="presOf" srcId="{2594C288-1A5D-42C8-B318-45E4B663209D}" destId="{1014B938-FFC2-4B3A-A8EE-D7D07B8A8D0E}" srcOrd="0" destOrd="0" presId="urn:microsoft.com/office/officeart/2005/8/layout/process1"/>
    <dgm:cxn modelId="{6B62E2DC-6C62-4AB8-8AF2-BA23B5E21CAC}" type="presOf" srcId="{4134ACD4-EA90-43ED-B2B6-0C18269F5CFA}" destId="{C361E5F6-AB6E-4ECC-8F76-879F12A58CFF}" srcOrd="0" destOrd="0" presId="urn:microsoft.com/office/officeart/2005/8/layout/process1"/>
    <dgm:cxn modelId="{A8D30424-6CB8-451E-BB05-B22D68D61CAB}" type="presParOf" srcId="{38BEA281-9103-44AC-BB57-4E2FE9221526}" destId="{3303EDDA-E270-48DD-A416-E4603AAF948B}" srcOrd="0" destOrd="0" presId="urn:microsoft.com/office/officeart/2005/8/layout/process1"/>
    <dgm:cxn modelId="{4429E941-021C-46D9-A6E0-3E5ED352AA95}" type="presParOf" srcId="{38BEA281-9103-44AC-BB57-4E2FE9221526}" destId="{0E302BE7-CEFD-478A-86FE-B1389555B78D}" srcOrd="1" destOrd="0" presId="urn:microsoft.com/office/officeart/2005/8/layout/process1"/>
    <dgm:cxn modelId="{F5ADEAF3-50AE-4E2B-96B7-7E57A57C1F7E}" type="presParOf" srcId="{0E302BE7-CEFD-478A-86FE-B1389555B78D}" destId="{5F0B6F9D-8D1F-44F9-9285-8BFFB790463B}" srcOrd="0" destOrd="0" presId="urn:microsoft.com/office/officeart/2005/8/layout/process1"/>
    <dgm:cxn modelId="{8C69D466-5761-49CC-933A-230537ED8939}" type="presParOf" srcId="{38BEA281-9103-44AC-BB57-4E2FE9221526}" destId="{D2B845AB-03EB-4B81-AB34-9B6DEA4C0F8F}" srcOrd="2" destOrd="0" presId="urn:microsoft.com/office/officeart/2005/8/layout/process1"/>
    <dgm:cxn modelId="{E6A9CD5A-6E41-46F5-9FD7-8303C3237531}" type="presParOf" srcId="{38BEA281-9103-44AC-BB57-4E2FE9221526}" destId="{1014B938-FFC2-4B3A-A8EE-D7D07B8A8D0E}" srcOrd="3" destOrd="0" presId="urn:microsoft.com/office/officeart/2005/8/layout/process1"/>
    <dgm:cxn modelId="{0A346DE1-0E37-4D97-8473-5CB19783E0C9}" type="presParOf" srcId="{1014B938-FFC2-4B3A-A8EE-D7D07B8A8D0E}" destId="{1583D525-AD68-4A74-9547-F535072BB531}" srcOrd="0" destOrd="0" presId="urn:microsoft.com/office/officeart/2005/8/layout/process1"/>
    <dgm:cxn modelId="{1786D155-B53B-4B97-BFAD-9EF04F2E5654}" type="presParOf" srcId="{38BEA281-9103-44AC-BB57-4E2FE9221526}" destId="{C361E5F6-AB6E-4ECC-8F76-879F12A58CFF}"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E64AAA-81AC-4B0C-865B-B33C381D3808}">
      <dsp:nvSpPr>
        <dsp:cNvPr id="0" name=""/>
        <dsp:cNvSpPr/>
      </dsp:nvSpPr>
      <dsp:spPr>
        <a:xfrm>
          <a:off x="4746" y="83840"/>
          <a:ext cx="1418732" cy="14896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cs-CZ" sz="1300" b="1" kern="1200"/>
            <a:t>Aktivizační opatření </a:t>
          </a:r>
          <a:r>
            <a:rPr lang="cs-CZ" sz="1300" kern="1200"/>
            <a:t>(pracovní poradenství, příprava k práci, pracovní místa na zkoušku apod.)</a:t>
          </a:r>
        </a:p>
      </dsp:txBody>
      <dsp:txXfrm>
        <a:off x="46299" y="125393"/>
        <a:ext cx="1335626" cy="1406562"/>
      </dsp:txXfrm>
    </dsp:sp>
    <dsp:sp modelId="{2FEE110A-9E9D-47AA-A82F-6F7858F84CE1}">
      <dsp:nvSpPr>
        <dsp:cNvPr id="0" name=""/>
        <dsp:cNvSpPr/>
      </dsp:nvSpPr>
      <dsp:spPr>
        <a:xfrm>
          <a:off x="1565351" y="652752"/>
          <a:ext cx="300771" cy="35184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cs-CZ" sz="1100" kern="1200"/>
        </a:p>
      </dsp:txBody>
      <dsp:txXfrm>
        <a:off x="1565351" y="723121"/>
        <a:ext cx="210540" cy="211107"/>
      </dsp:txXfrm>
    </dsp:sp>
    <dsp:sp modelId="{6E8118F9-5B8F-44A9-B02B-BF2DD0CB459F}">
      <dsp:nvSpPr>
        <dsp:cNvPr id="0" name=""/>
        <dsp:cNvSpPr/>
      </dsp:nvSpPr>
      <dsp:spPr>
        <a:xfrm>
          <a:off x="1990971" y="83840"/>
          <a:ext cx="1418732" cy="14896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cs-CZ" sz="1300" b="1" kern="1200"/>
            <a:t>Podporované zaměstnávání </a:t>
          </a:r>
          <a:r>
            <a:rPr lang="cs-CZ" sz="1300" kern="1200"/>
            <a:t>(dotovaná pracovní místa, tranzitní pracovní místo v sociálním podniku apod.)</a:t>
          </a:r>
        </a:p>
      </dsp:txBody>
      <dsp:txXfrm>
        <a:off x="2032524" y="125393"/>
        <a:ext cx="1335626" cy="1406562"/>
      </dsp:txXfrm>
    </dsp:sp>
    <dsp:sp modelId="{8A5394FC-4004-45A5-A842-4BD6A7A7761B}">
      <dsp:nvSpPr>
        <dsp:cNvPr id="0" name=""/>
        <dsp:cNvSpPr/>
      </dsp:nvSpPr>
      <dsp:spPr>
        <a:xfrm>
          <a:off x="3551576" y="652752"/>
          <a:ext cx="300771" cy="35184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cs-CZ" sz="1100" kern="1200"/>
        </a:p>
      </dsp:txBody>
      <dsp:txXfrm>
        <a:off x="3551576" y="723121"/>
        <a:ext cx="210540" cy="211107"/>
      </dsp:txXfrm>
    </dsp:sp>
    <dsp:sp modelId="{EF4AC736-75FD-49EF-A77C-42CDF855128E}">
      <dsp:nvSpPr>
        <dsp:cNvPr id="0" name=""/>
        <dsp:cNvSpPr/>
      </dsp:nvSpPr>
      <dsp:spPr>
        <a:xfrm>
          <a:off x="3977196" y="83840"/>
          <a:ext cx="1418732" cy="14896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cs-CZ" sz="1300" b="1" kern="1200"/>
            <a:t>Podpora udržitelnosti pracovních míst na volném trhu práce </a:t>
          </a:r>
          <a:r>
            <a:rPr lang="cs-CZ" sz="1300" kern="1200"/>
            <a:t>(pracovní asistence, mentoring apod.)</a:t>
          </a:r>
        </a:p>
      </dsp:txBody>
      <dsp:txXfrm>
        <a:off x="4018749" y="125393"/>
        <a:ext cx="1335626" cy="14065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03EDDA-E270-48DD-A416-E4603AAF948B}">
      <dsp:nvSpPr>
        <dsp:cNvPr id="0" name=""/>
        <dsp:cNvSpPr/>
      </dsp:nvSpPr>
      <dsp:spPr>
        <a:xfrm>
          <a:off x="0" y="43593"/>
          <a:ext cx="1403718" cy="842231"/>
        </a:xfrm>
        <a:prstGeom prst="roundRect">
          <a:avLst>
            <a:gd name="adj" fmla="val 10000"/>
          </a:avLst>
        </a:prstGeom>
        <a:solidFill>
          <a:schemeClr val="accent1">
            <a:lumMod val="40000"/>
            <a:lumOff val="60000"/>
          </a:schemeClr>
        </a:solidFill>
        <a:ln w="12700" cap="flat" cmpd="sng" algn="ctr">
          <a:solidFill>
            <a:schemeClr val="tx2">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cs-CZ" sz="1500" b="1" kern="1200">
              <a:solidFill>
                <a:schemeClr val="tx2">
                  <a:lumMod val="75000"/>
                </a:schemeClr>
              </a:solidFill>
            </a:rPr>
            <a:t>Motivovaný klient</a:t>
          </a:r>
        </a:p>
      </dsp:txBody>
      <dsp:txXfrm>
        <a:off x="24668" y="68261"/>
        <a:ext cx="1354382" cy="792895"/>
      </dsp:txXfrm>
    </dsp:sp>
    <dsp:sp modelId="{0E302BE7-CEFD-478A-86FE-B1389555B78D}">
      <dsp:nvSpPr>
        <dsp:cNvPr id="0" name=""/>
        <dsp:cNvSpPr/>
      </dsp:nvSpPr>
      <dsp:spPr>
        <a:xfrm rot="21561963">
          <a:off x="1545255" y="279655"/>
          <a:ext cx="300095" cy="348122"/>
        </a:xfrm>
        <a:prstGeom prst="rightArrow">
          <a:avLst>
            <a:gd name="adj1" fmla="val 60000"/>
            <a:gd name="adj2" fmla="val 50000"/>
          </a:avLst>
        </a:prstGeom>
        <a:solidFill>
          <a:schemeClr val="tx2">
            <a:lumMod val="60000"/>
            <a:lumOff val="40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cs-CZ" sz="1200" kern="1200"/>
        </a:p>
      </dsp:txBody>
      <dsp:txXfrm>
        <a:off x="1545258" y="349777"/>
        <a:ext cx="210067" cy="208874"/>
      </dsp:txXfrm>
    </dsp:sp>
    <dsp:sp modelId="{D2B845AB-03EB-4B81-AB34-9B6DEA4C0F8F}">
      <dsp:nvSpPr>
        <dsp:cNvPr id="0" name=""/>
        <dsp:cNvSpPr/>
      </dsp:nvSpPr>
      <dsp:spPr>
        <a:xfrm>
          <a:off x="1969903" y="21796"/>
          <a:ext cx="1403718" cy="842231"/>
        </a:xfrm>
        <a:prstGeom prst="roundRect">
          <a:avLst>
            <a:gd name="adj" fmla="val 10000"/>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cs-CZ" sz="1500" b="1" kern="1200">
              <a:solidFill>
                <a:schemeClr val="tx2">
                  <a:lumMod val="75000"/>
                </a:schemeClr>
              </a:solidFill>
            </a:rPr>
            <a:t>Zaměstnatelný klient</a:t>
          </a:r>
        </a:p>
      </dsp:txBody>
      <dsp:txXfrm>
        <a:off x="1994571" y="46464"/>
        <a:ext cx="1354382" cy="792895"/>
      </dsp:txXfrm>
    </dsp:sp>
    <dsp:sp modelId="{1014B938-FFC2-4B3A-A8EE-D7D07B8A8D0E}">
      <dsp:nvSpPr>
        <dsp:cNvPr id="0" name=""/>
        <dsp:cNvSpPr/>
      </dsp:nvSpPr>
      <dsp:spPr>
        <a:xfrm>
          <a:off x="3513993" y="268851"/>
          <a:ext cx="297588" cy="348122"/>
        </a:xfrm>
        <a:prstGeom prst="rightArrow">
          <a:avLst>
            <a:gd name="adj1" fmla="val 60000"/>
            <a:gd name="adj2" fmla="val 50000"/>
          </a:avLst>
        </a:prstGeom>
        <a:solidFill>
          <a:schemeClr val="tx2">
            <a:lumMod val="60000"/>
            <a:lumOff val="40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cs-CZ" sz="1200" kern="1200"/>
        </a:p>
      </dsp:txBody>
      <dsp:txXfrm>
        <a:off x="3513993" y="338475"/>
        <a:ext cx="208312" cy="208874"/>
      </dsp:txXfrm>
    </dsp:sp>
    <dsp:sp modelId="{C361E5F6-AB6E-4ECC-8F76-879F12A58CFF}">
      <dsp:nvSpPr>
        <dsp:cNvPr id="0" name=""/>
        <dsp:cNvSpPr/>
      </dsp:nvSpPr>
      <dsp:spPr>
        <a:xfrm>
          <a:off x="3935109" y="21796"/>
          <a:ext cx="1403718" cy="842231"/>
        </a:xfrm>
        <a:prstGeom prst="roundRect">
          <a:avLst>
            <a:gd name="adj" fmla="val 10000"/>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cs-CZ" sz="1500" b="1" kern="1200">
              <a:solidFill>
                <a:schemeClr val="tx2">
                  <a:lumMod val="75000"/>
                </a:schemeClr>
              </a:solidFill>
            </a:rPr>
            <a:t>Integrovaný klient</a:t>
          </a:r>
        </a:p>
      </dsp:txBody>
      <dsp:txXfrm>
        <a:off x="3959777" y="46464"/>
        <a:ext cx="1354382" cy="7928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1442</Words>
  <Characters>8514</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2</cp:revision>
  <dcterms:created xsi:type="dcterms:W3CDTF">2018-07-31T09:21:00Z</dcterms:created>
  <dcterms:modified xsi:type="dcterms:W3CDTF">2018-08-15T08:56:00Z</dcterms:modified>
</cp:coreProperties>
</file>